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b/>
          <w:sz w:val="22"/>
          <w:szCs w:val="22"/>
        </w:rPr>
      </w:pPr>
      <w:r>
        <w:rPr>
          <w:b/>
          <w:sz w:val="22"/>
          <w:szCs w:val="22"/>
        </w:rPr>
        <w:t>ACCT I S 630, Audit and Assurance Services</w:t>
      </w:r>
    </w:p>
    <w:p>
      <w:pPr>
        <w:jc w:val="center"/>
        <w:rPr>
          <w:b/>
          <w:sz w:val="22"/>
          <w:szCs w:val="22"/>
        </w:rPr>
      </w:pPr>
      <w:r>
        <w:rPr>
          <w:b/>
          <w:sz w:val="22"/>
          <w:szCs w:val="22"/>
        </w:rPr>
        <w:t>University of Wisconsin – Madison, Wisconsin School of Business</w:t>
      </w:r>
    </w:p>
    <w:p>
      <w:pPr>
        <w:jc w:val="center"/>
        <w:rPr>
          <w:b/>
          <w:sz w:val="22"/>
          <w:szCs w:val="22"/>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45" w:type="dxa"/>
            <w:shd w:val="clear" w:color="auto" w:fill="auto"/>
          </w:tcPr>
          <w:p>
            <w:pPr>
              <w:rPr>
                <w:rFonts w:hint="default" w:ascii="Times New Roman Regular" w:hAnsi="Times New Roman Regular" w:eastAsia="Calibri" w:cs="Times New Roman Regular"/>
                <w:b/>
                <w:sz w:val="22"/>
                <w:szCs w:val="22"/>
                <w:lang w:val="en-US"/>
              </w:rPr>
            </w:pPr>
            <w:r>
              <w:rPr>
                <w:rFonts w:ascii="Times New Roman Regular" w:hAnsi="Times New Roman Regular" w:eastAsia="Calibri" w:cs="Times New Roman Regular"/>
                <w:b/>
                <w:sz w:val="22"/>
                <w:szCs w:val="22"/>
              </w:rPr>
              <w:t xml:space="preserve">Section 1 – 11:00-12:15 MW in </w:t>
            </w:r>
            <w:r>
              <w:rPr>
                <w:rFonts w:hint="default" w:ascii="Times New Roman Regular" w:hAnsi="Times New Roman Regular" w:eastAsia="Calibri" w:cs="Times New Roman Regular"/>
                <w:b/>
                <w:sz w:val="22"/>
                <w:szCs w:val="22"/>
                <w:lang w:val="en-US"/>
              </w:rPr>
              <w:t>4580</w:t>
            </w:r>
            <w:r>
              <w:rPr>
                <w:rFonts w:ascii="Times New Roman Regular" w:hAnsi="Times New Roman Regular" w:eastAsia="Calibri" w:cs="Times New Roman Regular"/>
                <w:b/>
                <w:sz w:val="22"/>
                <w:szCs w:val="22"/>
              </w:rPr>
              <w:t xml:space="preserve"> Grainger Hall   </w:t>
            </w:r>
            <w:r>
              <w:rPr>
                <w:rFonts w:hint="default" w:ascii="Times New Roman Regular" w:hAnsi="Times New Roman Regular" w:eastAsia="Calibri" w:cs="Times New Roman Regular"/>
                <w:b/>
                <w:sz w:val="22"/>
                <w:szCs w:val="22"/>
                <w:lang w:val="en-US"/>
              </w:rPr>
              <w:t xml:space="preserve">                                                            SPRING 2024</w:t>
            </w:r>
          </w:p>
          <w:p>
            <w:pPr>
              <w:rPr>
                <w:rFonts w:hint="default" w:ascii="Times New Roman Regular" w:hAnsi="Times New Roman Regular" w:eastAsia="Calibri" w:cs="Times New Roman Regular"/>
                <w:b/>
                <w:sz w:val="22"/>
                <w:szCs w:val="22"/>
                <w:lang w:val="en-US"/>
              </w:rPr>
            </w:pPr>
            <w:r>
              <w:rPr>
                <w:rFonts w:hint="default" w:ascii="Times New Roman Regular" w:hAnsi="Times New Roman Regular" w:eastAsia="Calibri" w:cs="Times New Roman Regular"/>
                <w:b/>
                <w:sz w:val="22"/>
                <w:szCs w:val="22"/>
                <w:lang w:val="en-US"/>
              </w:rPr>
              <w:t xml:space="preserve">Section 2 </w:t>
            </w:r>
            <w:r>
              <w:rPr>
                <w:rFonts w:ascii="Times New Roman Regular" w:hAnsi="Times New Roman Regular" w:eastAsia="Calibri" w:cs="Times New Roman Regular"/>
                <w:b/>
                <w:sz w:val="22"/>
                <w:szCs w:val="22"/>
              </w:rPr>
              <w:t xml:space="preserve">– 1:00-12:15 MW in </w:t>
            </w:r>
            <w:r>
              <w:rPr>
                <w:rFonts w:hint="default" w:ascii="Times New Roman Regular" w:hAnsi="Times New Roman Regular" w:eastAsia="Calibri" w:cs="Times New Roman Regular"/>
                <w:b/>
                <w:sz w:val="22"/>
                <w:szCs w:val="22"/>
                <w:lang w:val="en-US"/>
              </w:rPr>
              <w:t>4580</w:t>
            </w:r>
            <w:r>
              <w:rPr>
                <w:rFonts w:ascii="Times New Roman Regular" w:hAnsi="Times New Roman Regular" w:eastAsia="Calibri" w:cs="Times New Roman Regular"/>
                <w:b/>
                <w:sz w:val="22"/>
                <w:szCs w:val="22"/>
              </w:rPr>
              <w:t xml:space="preserve"> Grainger Hall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45" w:type="dxa"/>
            <w:shd w:val="clear" w:color="auto" w:fill="auto"/>
          </w:tcPr>
          <w:p>
            <w:pPr>
              <w:rPr>
                <w:rFonts w:ascii="Times New Roman Regular" w:hAnsi="Times New Roman Regular" w:eastAsia="Calibri" w:cs="Times New Roman Regular"/>
                <w:bCs/>
                <w:sz w:val="22"/>
                <w:szCs w:val="22"/>
              </w:rPr>
            </w:pPr>
            <w:r>
              <w:rPr>
                <w:rFonts w:ascii="Times New Roman Regular" w:hAnsi="Times New Roman Regular" w:eastAsia="Calibri" w:cs="Times New Roman Regular"/>
                <w:bCs/>
                <w:sz w:val="22"/>
                <w:szCs w:val="22"/>
              </w:rPr>
              <w:t>Professor Karla M. Zehms</w:t>
            </w:r>
          </w:p>
          <w:p>
            <w:pPr>
              <w:rPr>
                <w:rFonts w:ascii="Times New Roman Regular" w:hAnsi="Times New Roman Regular" w:eastAsia="Calibri" w:cs="Times New Roman Regular"/>
                <w:bCs/>
                <w:sz w:val="22"/>
                <w:szCs w:val="22"/>
              </w:rPr>
            </w:pPr>
            <w:r>
              <w:rPr>
                <w:rFonts w:ascii="Times New Roman Regular" w:hAnsi="Times New Roman Regular" w:eastAsia="Calibri" w:cs="Times New Roman Regular"/>
                <w:bCs/>
                <w:sz w:val="22"/>
                <w:szCs w:val="22"/>
              </w:rPr>
              <w:t>Ernst &amp; Young Professor and Associate Dean of Research &amp; PhD Programs, CPA, PhD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45" w:type="dxa"/>
            <w:shd w:val="clear" w:color="auto" w:fill="auto"/>
          </w:tcPr>
          <w:p>
            <w:pPr>
              <w:rPr>
                <w:rFonts w:ascii="Times New Roman Regular" w:hAnsi="Times New Roman Regular" w:eastAsia="Calibri" w:cs="Times New Roman Regular"/>
                <w:bCs/>
                <w:sz w:val="22"/>
                <w:szCs w:val="22"/>
              </w:rPr>
            </w:pPr>
            <w:r>
              <w:rPr>
                <w:rFonts w:ascii="Times New Roman Regular" w:hAnsi="Times New Roman Regular" w:eastAsia="Calibri" w:cs="Times New Roman Regular"/>
                <w:bCs/>
                <w:sz w:val="22"/>
                <w:szCs w:val="22"/>
              </w:rPr>
              <w:t xml:space="preserve">Email: </w:t>
            </w:r>
            <w:r>
              <w:fldChar w:fldCharType="begin"/>
            </w:r>
            <w:r>
              <w:instrText xml:space="preserve"> HYPERLINK "mailto:karla.zehms@wisc.edu" </w:instrText>
            </w:r>
            <w:r>
              <w:fldChar w:fldCharType="separate"/>
            </w:r>
            <w:r>
              <w:rPr>
                <w:rStyle w:val="23"/>
                <w:rFonts w:ascii="Times New Roman Regular" w:hAnsi="Times New Roman Regular" w:eastAsia="Calibri" w:cs="Times New Roman Regular"/>
                <w:bCs/>
                <w:sz w:val="22"/>
                <w:szCs w:val="22"/>
              </w:rPr>
              <w:t>karla.zehms@wisc.edu</w:t>
            </w:r>
            <w:r>
              <w:rPr>
                <w:rStyle w:val="23"/>
                <w:rFonts w:ascii="Times New Roman Regular" w:hAnsi="Times New Roman Regular" w:eastAsia="Calibri" w:cs="Times New Roman Regular"/>
                <w:bCs/>
                <w:sz w:val="22"/>
                <w:szCs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45" w:type="dxa"/>
            <w:shd w:val="clear" w:color="auto" w:fill="auto"/>
          </w:tcPr>
          <w:p>
            <w:pPr>
              <w:rPr>
                <w:rFonts w:ascii="Times New Roman Regular" w:hAnsi="Times New Roman Regular" w:eastAsia="Calibri" w:cs="Times New Roman Regular"/>
                <w:bCs/>
                <w:sz w:val="22"/>
                <w:szCs w:val="22"/>
              </w:rPr>
            </w:pPr>
            <w:r>
              <w:rPr>
                <w:rFonts w:ascii="Times New Roman Regular" w:hAnsi="Times New Roman Regular" w:eastAsia="Calibri" w:cs="Times New Roman Regular"/>
                <w:bCs/>
                <w:sz w:val="22"/>
                <w:szCs w:val="22"/>
              </w:rPr>
              <w:t>Office Hours: 12:20-1pm MW and by appointment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45" w:type="dxa"/>
            <w:shd w:val="clear" w:color="auto" w:fill="auto"/>
          </w:tcPr>
          <w:p>
            <w:pPr>
              <w:rPr>
                <w:rFonts w:ascii="Times New Roman Regular" w:hAnsi="Times New Roman Regular" w:eastAsia="Calibri" w:cs="Times New Roman Regular"/>
                <w:bCs/>
                <w:sz w:val="22"/>
                <w:szCs w:val="22"/>
              </w:rPr>
            </w:pPr>
            <w:r>
              <w:rPr>
                <w:rFonts w:ascii="Times New Roman Regular" w:hAnsi="Times New Roman Regular" w:eastAsia="Calibri" w:cs="Times New Roman Regular"/>
                <w:bCs/>
                <w:sz w:val="22"/>
                <w:szCs w:val="22"/>
              </w:rPr>
              <w:t xml:space="preserve">Office: 4133 Grainger Hall </w:t>
            </w:r>
          </w:p>
        </w:tc>
      </w:tr>
    </w:tbl>
    <w:p>
      <w:pPr>
        <w:rPr>
          <w:rFonts w:ascii="Times New Roman Regular" w:hAnsi="Times New Roman Regular" w:eastAsia="Calibri" w:cs="Times New Roman Regular"/>
          <w:bCs/>
          <w:i/>
          <w:iCs/>
          <w:sz w:val="22"/>
          <w:szCs w:val="22"/>
        </w:rPr>
      </w:pPr>
    </w:p>
    <w:tbl>
      <w:tblPr>
        <w:tblStyle w:val="12"/>
        <w:tblW w:w="11089" w:type="dxa"/>
        <w:tblInd w:w="-90" w:type="dxa"/>
        <w:tblLayout w:type="fixed"/>
        <w:tblCellMar>
          <w:top w:w="0" w:type="dxa"/>
          <w:left w:w="108" w:type="dxa"/>
          <w:bottom w:w="0" w:type="dxa"/>
          <w:right w:w="108" w:type="dxa"/>
        </w:tblCellMar>
      </w:tblPr>
      <w:tblGrid>
        <w:gridCol w:w="11089"/>
      </w:tblGrid>
      <w:tr>
        <w:tc>
          <w:tcPr>
            <w:tcW w:w="11089" w:type="dxa"/>
          </w:tcPr>
          <w:p>
            <w:pPr>
              <w:rPr>
                <w:rFonts w:ascii="Times New Roman Regular" w:hAnsi="Times New Roman Regular" w:cs="Times New Roman Regular"/>
                <w:bCs/>
                <w:sz w:val="22"/>
                <w:szCs w:val="22"/>
              </w:rPr>
            </w:pPr>
            <w:r>
              <w:rPr>
                <w:rFonts w:ascii="Times New Roman Regular" w:hAnsi="Times New Roman Regular" w:cs="Times New Roman Regular"/>
                <w:b/>
                <w:sz w:val="22"/>
                <w:szCs w:val="22"/>
              </w:rPr>
              <w:t xml:space="preserve">Course Website: </w:t>
            </w:r>
            <w:r>
              <w:fldChar w:fldCharType="begin"/>
            </w:r>
            <w:r>
              <w:instrText xml:space="preserve"> HYPERLINK "https://canvas.wisc.edu/courses/360300" </w:instrText>
            </w:r>
            <w:r>
              <w:fldChar w:fldCharType="separate"/>
            </w:r>
            <w:r>
              <w:rPr>
                <w:rStyle w:val="23"/>
                <w:rFonts w:ascii="Times New Roman Regular" w:hAnsi="Times New Roman Regular" w:cs="Times New Roman Regular"/>
                <w:bCs/>
                <w:sz w:val="22"/>
                <w:szCs w:val="22"/>
              </w:rPr>
              <w:t>https://canvas.wisc.edu/courses/360300</w:t>
            </w:r>
            <w:r>
              <w:rPr>
                <w:rStyle w:val="23"/>
                <w:rFonts w:ascii="Times New Roman Regular" w:hAnsi="Times New Roman Regular" w:cs="Times New Roman Regular"/>
                <w:bCs/>
                <w:sz w:val="22"/>
                <w:szCs w:val="22"/>
              </w:rPr>
              <w:fldChar w:fldCharType="end"/>
            </w:r>
          </w:p>
          <w:p>
            <w:pPr>
              <w:jc w:val="both"/>
              <w:rPr>
                <w:rFonts w:ascii="Times New Roman Regular" w:hAnsi="Times New Roman Regular" w:cs="Times New Roman Regular"/>
                <w:b/>
                <w:sz w:val="22"/>
                <w:szCs w:val="22"/>
              </w:rPr>
            </w:pPr>
          </w:p>
          <w:p>
            <w:pPr>
              <w:rPr>
                <w:rFonts w:ascii="Times New Roman Regular" w:hAnsi="Times New Roman Regular" w:cs="Times New Roman Regular"/>
                <w:b/>
                <w:sz w:val="22"/>
                <w:szCs w:val="22"/>
              </w:rPr>
            </w:pPr>
            <w:r>
              <w:rPr>
                <w:rFonts w:ascii="Times New Roman Regular" w:hAnsi="Times New Roman Regular" w:cs="Times New Roman Regular"/>
                <w:b/>
                <w:sz w:val="22"/>
                <w:szCs w:val="22"/>
              </w:rPr>
              <w:t>Required Materials:</w:t>
            </w:r>
          </w:p>
          <w:p>
            <w:pPr>
              <w:numPr>
                <w:ilvl w:val="0"/>
                <w:numId w:val="2"/>
              </w:numPr>
              <w:rPr>
                <w:rFonts w:ascii="Times New Roman Regular" w:hAnsi="Times New Roman Regular" w:cs="Times New Roman Regular"/>
                <w:b/>
                <w:sz w:val="22"/>
                <w:szCs w:val="22"/>
              </w:rPr>
            </w:pPr>
            <w:r>
              <w:rPr>
                <w:rFonts w:ascii="Times New Roman Regular" w:hAnsi="Times New Roman Regular" w:cs="Times New Roman Regular"/>
                <w:sz w:val="22"/>
                <w:szCs w:val="22"/>
              </w:rPr>
              <w:t xml:space="preserve">K.M. Zehms, A. Gramling, and L. Rittenberg. </w:t>
            </w:r>
            <w:r>
              <w:rPr>
                <w:rFonts w:ascii="Times New Roman Regular" w:hAnsi="Times New Roman Regular" w:cs="Times New Roman Regular"/>
                <w:i/>
                <w:sz w:val="22"/>
                <w:szCs w:val="22"/>
              </w:rPr>
              <w:t>Auditing: A Risk-Based Approach, 12</w:t>
            </w:r>
            <w:r>
              <w:rPr>
                <w:rFonts w:ascii="Times New Roman Regular" w:hAnsi="Times New Roman Regular" w:cs="Times New Roman Regular"/>
                <w:i/>
                <w:sz w:val="22"/>
                <w:szCs w:val="22"/>
                <w:vertAlign w:val="superscript"/>
              </w:rPr>
              <w:t>th</w:t>
            </w:r>
            <w:r>
              <w:rPr>
                <w:rFonts w:ascii="Times New Roman Regular" w:hAnsi="Times New Roman Regular" w:cs="Times New Roman Regular"/>
                <w:i/>
                <w:sz w:val="22"/>
                <w:szCs w:val="22"/>
              </w:rPr>
              <w:t xml:space="preserve"> Edition. </w:t>
            </w:r>
            <w:r>
              <w:rPr>
                <w:rFonts w:ascii="Times New Roman Regular" w:hAnsi="Times New Roman Regular" w:cs="Times New Roman Regular"/>
                <w:sz w:val="22"/>
                <w:szCs w:val="22"/>
              </w:rPr>
              <w:t xml:space="preserve">Cengage Publishing, 2023/2024. </w:t>
            </w:r>
          </w:p>
          <w:p>
            <w:pPr>
              <w:rPr>
                <w:rFonts w:ascii="Times New Roman Regular" w:hAnsi="Times New Roman Regular" w:cs="Times New Roman Regular"/>
                <w:b/>
                <w:sz w:val="22"/>
                <w:szCs w:val="22"/>
              </w:rPr>
            </w:pPr>
          </w:p>
          <w:p>
            <w:pPr>
              <w:contextualSpacing/>
              <w:rPr>
                <w:rFonts w:ascii="Times New Roman Regular" w:hAnsi="Times New Roman Regular" w:cs="Times New Roman Regular"/>
                <w:sz w:val="22"/>
                <w:szCs w:val="22"/>
              </w:rPr>
            </w:pPr>
            <w:r>
              <w:rPr>
                <w:rFonts w:ascii="Times New Roman Regular" w:hAnsi="Times New Roman Regular" w:cs="Times New Roman Regular"/>
                <w:b/>
                <w:sz w:val="22"/>
                <w:szCs w:val="22"/>
              </w:rPr>
              <w:t xml:space="preserve">Course Description:  </w:t>
            </w:r>
            <w:r>
              <w:rPr>
                <w:rFonts w:ascii="Times New Roman Regular" w:hAnsi="Times New Roman Regular" w:cs="Times New Roman Regular"/>
                <w:sz w:val="22"/>
                <w:szCs w:val="22"/>
              </w:rPr>
              <w:t>Evolution of assurance services; role of assurance services as part of corporate governance; professional standards and ethical concepts; evidence concepts and evaluation of evidence, business and information technology risk analysis, the audit risk model, assurance reports, and development of audit and assurance programs.</w:t>
            </w:r>
          </w:p>
          <w:p>
            <w:pPr>
              <w:contextualSpacing/>
              <w:rPr>
                <w:rFonts w:ascii="Times New Roman Regular" w:hAnsi="Times New Roman Regular" w:cs="Times New Roman Regular"/>
                <w:b/>
                <w:sz w:val="22"/>
                <w:szCs w:val="22"/>
              </w:rPr>
            </w:pPr>
          </w:p>
          <w:p>
            <w:pPr>
              <w:contextualSpacing/>
              <w:rPr>
                <w:rFonts w:ascii="Times New Roman Regular" w:hAnsi="Times New Roman Regular" w:cs="Times New Roman Regular"/>
                <w:sz w:val="22"/>
                <w:szCs w:val="22"/>
              </w:rPr>
            </w:pPr>
            <w:r>
              <w:rPr>
                <w:rFonts w:ascii="Times New Roman Regular" w:hAnsi="Times New Roman Regular" w:cs="Times New Roman Regular"/>
                <w:b/>
                <w:sz w:val="22"/>
                <w:szCs w:val="22"/>
              </w:rPr>
              <w:t>Requisites: (</w:t>
            </w:r>
            <w:r>
              <w:rPr>
                <w:rFonts w:ascii="Times New Roman Regular" w:hAnsi="Times New Roman Regular" w:cs="Times New Roman Regular"/>
                <w:sz w:val="22"/>
                <w:szCs w:val="22"/>
              </w:rPr>
              <w:t>ACCT I S 301 or 701) or member of Business Exchange program</w:t>
            </w:r>
          </w:p>
          <w:p>
            <w:pPr>
              <w:contextualSpacing/>
              <w:rPr>
                <w:rStyle w:val="23"/>
                <w:rFonts w:ascii="Times New Roman Regular" w:hAnsi="Times New Roman Regular" w:cs="Times New Roman Regular"/>
                <w:sz w:val="22"/>
                <w:szCs w:val="22"/>
              </w:rPr>
            </w:pPr>
            <w:r>
              <w:rPr>
                <w:rFonts w:ascii="Times New Roman Regular" w:hAnsi="Times New Roman Regular" w:cs="Times New Roman Regular"/>
                <w:b/>
                <w:sz w:val="22"/>
                <w:szCs w:val="22"/>
              </w:rPr>
              <w:t xml:space="preserve">Credits: </w:t>
            </w:r>
            <w:r>
              <w:rPr>
                <w:rFonts w:ascii="Times New Roman Regular" w:hAnsi="Times New Roman Regular" w:cs="Times New Roman Regular"/>
                <w:sz w:val="22"/>
                <w:szCs w:val="22"/>
              </w:rPr>
              <w:t>3 credits following the traditional Carnegie definition (see</w:t>
            </w:r>
            <w:r>
              <w:rPr>
                <w:rFonts w:ascii="Times New Roman Regular" w:hAnsi="Times New Roman Regular" w:cs="Times New Roman Regular"/>
                <w:b/>
                <w:sz w:val="22"/>
                <w:szCs w:val="22"/>
              </w:rPr>
              <w:t xml:space="preserve"> </w:t>
            </w:r>
            <w:r>
              <w:fldChar w:fldCharType="begin"/>
            </w:r>
            <w:r>
              <w:instrText xml:space="preserve"> HYPERLINK "https://kb.wisc.edu/vesta/page.php?id=24558" </w:instrText>
            </w:r>
            <w:r>
              <w:fldChar w:fldCharType="separate"/>
            </w:r>
            <w:r>
              <w:rPr>
                <w:rStyle w:val="23"/>
                <w:rFonts w:ascii="Times New Roman Regular" w:hAnsi="Times New Roman Regular" w:cs="Times New Roman Regular"/>
                <w:sz w:val="22"/>
                <w:szCs w:val="22"/>
              </w:rPr>
              <w:t>UW-Madison Credit Hour Policy</w:t>
            </w:r>
            <w:r>
              <w:rPr>
                <w:rStyle w:val="23"/>
                <w:rFonts w:ascii="Times New Roman Regular" w:hAnsi="Times New Roman Regular" w:cs="Times New Roman Regular"/>
                <w:sz w:val="22"/>
                <w:szCs w:val="22"/>
              </w:rPr>
              <w:fldChar w:fldCharType="end"/>
            </w:r>
            <w:r>
              <w:rPr>
                <w:rStyle w:val="23"/>
                <w:rFonts w:ascii="Times New Roman Regular" w:hAnsi="Times New Roman Regular" w:cs="Times New Roman Regular"/>
                <w:sz w:val="22"/>
                <w:szCs w:val="22"/>
              </w:rPr>
              <w:t xml:space="preserve"> for more information).</w:t>
            </w:r>
          </w:p>
          <w:p>
            <w:pPr>
              <w:contextualSpacing/>
              <w:rPr>
                <w:rStyle w:val="23"/>
                <w:rFonts w:ascii="Times New Roman Regular" w:hAnsi="Times New Roman Regular" w:cs="Times New Roman Regular"/>
                <w:sz w:val="22"/>
                <w:szCs w:val="22"/>
              </w:rPr>
            </w:pPr>
            <w:r>
              <w:rPr>
                <w:rFonts w:ascii="Times New Roman Regular" w:hAnsi="Times New Roman Regular" w:cs="Times New Roman Regular"/>
                <w:b/>
                <w:sz w:val="22"/>
                <w:szCs w:val="22"/>
              </w:rPr>
              <w:t xml:space="preserve">Course Designation and Attributes: </w:t>
            </w:r>
            <w:r>
              <w:rPr>
                <w:rFonts w:ascii="Times New Roman Regular" w:hAnsi="Times New Roman Regular" w:cs="Times New Roman Regular"/>
                <w:sz w:val="22"/>
                <w:szCs w:val="22"/>
              </w:rPr>
              <w:t>None</w:t>
            </w:r>
          </w:p>
          <w:p>
            <w:pPr>
              <w:contextualSpacing/>
              <w:rPr>
                <w:rFonts w:ascii="Times New Roman Regular" w:hAnsi="Times New Roman Regular" w:cs="Times New Roman Regular"/>
                <w:sz w:val="22"/>
                <w:szCs w:val="22"/>
              </w:rPr>
            </w:pPr>
            <w:r>
              <w:rPr>
                <w:rFonts w:ascii="Times New Roman Regular" w:hAnsi="Times New Roman Regular" w:cs="Times New Roman Regular"/>
                <w:b/>
                <w:sz w:val="22"/>
                <w:szCs w:val="22"/>
              </w:rPr>
              <w:t xml:space="preserve">Instructional Mode: </w:t>
            </w:r>
            <w:r>
              <w:rPr>
                <w:rFonts w:ascii="Times New Roman Regular" w:hAnsi="Times New Roman Regular" w:cs="Times New Roman Regular"/>
                <w:sz w:val="22"/>
                <w:szCs w:val="22"/>
              </w:rPr>
              <w:t>This course is primarily an in-person course.</w:t>
            </w:r>
          </w:p>
          <w:p>
            <w:pPr>
              <w:contextualSpacing/>
              <w:rPr>
                <w:rFonts w:ascii="Times New Roman Regular" w:hAnsi="Times New Roman Regular" w:cs="Times New Roman Regular"/>
                <w:sz w:val="22"/>
                <w:szCs w:val="22"/>
              </w:rPr>
            </w:pPr>
          </w:p>
          <w:p>
            <w:pPr>
              <w:contextualSpacing/>
              <w:rPr>
                <w:rFonts w:ascii="Times New Roman Regular" w:hAnsi="Times New Roman Regular" w:cs="Times New Roman Regular"/>
                <w:b/>
                <w:sz w:val="22"/>
                <w:szCs w:val="22"/>
              </w:rPr>
            </w:pPr>
            <w:r>
              <w:rPr>
                <w:rFonts w:ascii="Times New Roman Regular" w:hAnsi="Times New Roman Regular" w:cs="Times New Roman Regular"/>
                <w:b/>
                <w:sz w:val="22"/>
                <w:szCs w:val="22"/>
              </w:rPr>
              <w:t xml:space="preserve">Details on How Course Credit Hours are Met:  </w:t>
            </w:r>
            <w:r>
              <w:rPr>
                <w:rFonts w:ascii="Times New Roman Regular" w:hAnsi="Times New Roman Regular" w:cs="Times New Roman Regular"/>
                <w:sz w:val="22"/>
                <w:szCs w:val="22"/>
              </w:rPr>
              <w:t>We will meet for two 75-minute class sessions each week. I expect students to work on course learning activities (preparing for in-class discussions, completing assignments, etc.) for about 3 hours outside of the classroom for every class session.</w:t>
            </w:r>
          </w:p>
          <w:p>
            <w:pPr>
              <w:contextualSpacing/>
              <w:rPr>
                <w:rFonts w:ascii="Times New Roman Regular" w:hAnsi="Times New Roman Regular" w:cs="Times New Roman Regular"/>
                <w:sz w:val="22"/>
                <w:szCs w:val="22"/>
              </w:rPr>
            </w:pPr>
          </w:p>
          <w:p>
            <w:pPr>
              <w:pStyle w:val="24"/>
              <w:spacing w:before="0" w:beforeAutospacing="0" w:after="0" w:afterAutospacing="0"/>
              <w:rPr>
                <w:rFonts w:ascii="Times New Roman Regular" w:hAnsi="Times New Roman Regular" w:cs="Times New Roman Regular"/>
                <w:sz w:val="22"/>
                <w:szCs w:val="22"/>
              </w:rPr>
            </w:pPr>
            <w:r>
              <w:rPr>
                <w:rFonts w:ascii="Times New Roman Regular" w:hAnsi="Times New Roman Regular" w:cs="Times New Roman Regular"/>
                <w:b/>
                <w:sz w:val="22"/>
                <w:szCs w:val="22"/>
              </w:rPr>
              <w:t xml:space="preserve">Regular and Substantive Student-Instructor Interaction: </w:t>
            </w:r>
            <w:r>
              <w:rPr>
                <w:rFonts w:ascii="Times New Roman Regular" w:hAnsi="Times New Roman Regular" w:cs="Times New Roman Regular"/>
                <w:sz w:val="22"/>
                <w:szCs w:val="22"/>
              </w:rPr>
              <w:t>Students have direct interaction with the instructor two and a half hours per week and the instructor provides feedback on the graded components of the course.  In addition, the instructor addresses academic engagement and course success as needed throughout the semester.</w:t>
            </w:r>
          </w:p>
          <w:p>
            <w:pPr>
              <w:jc w:val="both"/>
              <w:rPr>
                <w:rFonts w:ascii="Times New Roman Regular" w:hAnsi="Times New Roman Regular" w:cs="Times New Roman Regular"/>
                <w:b/>
                <w:sz w:val="22"/>
                <w:szCs w:val="22"/>
              </w:rPr>
            </w:pPr>
          </w:p>
          <w:p>
            <w:pPr>
              <w:jc w:val="both"/>
              <w:rPr>
                <w:rFonts w:ascii="Times New Roman Regular" w:hAnsi="Times New Roman Regular" w:cs="Times New Roman Regular"/>
                <w:b/>
                <w:sz w:val="22"/>
                <w:szCs w:val="22"/>
              </w:rPr>
            </w:pPr>
            <w:r>
              <w:rPr>
                <w:rFonts w:ascii="Times New Roman Regular" w:hAnsi="Times New Roman Regular" w:cs="Times New Roman Regular"/>
                <w:b/>
                <w:sz w:val="22"/>
                <w:szCs w:val="22"/>
              </w:rPr>
              <w:t>Learning Outcomes:</w:t>
            </w:r>
          </w:p>
          <w:p>
            <w:pPr>
              <w:contextualSpacing/>
              <w:rPr>
                <w:rFonts w:ascii="Times New Roman Regular" w:hAnsi="Times New Roman Regular" w:cs="Times New Roman Regular"/>
                <w:b/>
                <w:sz w:val="22"/>
                <w:szCs w:val="22"/>
              </w:rPr>
            </w:pPr>
            <w:r>
              <w:rPr>
                <w:rFonts w:ascii="Times New Roman Regular" w:hAnsi="Times New Roman Regular" w:cs="Times New Roman Regular"/>
                <w:sz w:val="22"/>
                <w:szCs w:val="22"/>
              </w:rPr>
              <w:t>The Accounting Department and the School of Business articulates learning outcomes for our curriculum in terms of the following elements:</w:t>
            </w:r>
            <w:r>
              <w:rPr>
                <w:rFonts w:ascii="Times New Roman Regular" w:hAnsi="Times New Roman Regular" w:cs="Times New Roman Regular"/>
                <w:b/>
                <w:sz w:val="22"/>
                <w:szCs w:val="22"/>
              </w:rPr>
              <w:t xml:space="preserve"> </w:t>
            </w:r>
          </w:p>
          <w:tbl>
            <w:tblPr>
              <w:tblStyle w:val="27"/>
              <w:tblW w:w="10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8615"/>
            </w:tblGrid>
            <w:tr>
              <w:tc>
                <w:tcPr>
                  <w:tcW w:w="170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i/>
                      <w:sz w:val="22"/>
                      <w:szCs w:val="22"/>
                    </w:rPr>
                    <w:t xml:space="preserve">Knowing </w:t>
                  </w:r>
                </w:p>
              </w:tc>
              <w:tc>
                <w:tcPr>
                  <w:tcW w:w="861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sz w:val="22"/>
                      <w:szCs w:val="22"/>
                    </w:rPr>
                    <w:t>Conceptual expertise and awareness of facts, frameworks, and theories.</w:t>
                  </w:r>
                </w:p>
              </w:tc>
            </w:tr>
            <w:tr>
              <w:tc>
                <w:tcPr>
                  <w:tcW w:w="170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i/>
                      <w:sz w:val="22"/>
                      <w:szCs w:val="22"/>
                    </w:rPr>
                    <w:t xml:space="preserve">Doing </w:t>
                  </w:r>
                </w:p>
              </w:tc>
              <w:tc>
                <w:tcPr>
                  <w:tcW w:w="861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sz w:val="22"/>
                      <w:szCs w:val="22"/>
                    </w:rPr>
                    <w:t>Ability to apply technical knowledge to novel problems.</w:t>
                  </w:r>
                </w:p>
              </w:tc>
            </w:tr>
            <w:tr>
              <w:tc>
                <w:tcPr>
                  <w:tcW w:w="170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i/>
                      <w:sz w:val="22"/>
                      <w:szCs w:val="22"/>
                    </w:rPr>
                    <w:t xml:space="preserve">Being </w:t>
                  </w:r>
                </w:p>
              </w:tc>
              <w:tc>
                <w:tcPr>
                  <w:tcW w:w="861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sz w:val="22"/>
                      <w:szCs w:val="22"/>
                    </w:rPr>
                    <w:t>Understanding of who I am and how my values match with the values of the university and the profession.</w:t>
                  </w:r>
                </w:p>
              </w:tc>
            </w:tr>
            <w:tr>
              <w:tc>
                <w:tcPr>
                  <w:tcW w:w="170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i/>
                      <w:sz w:val="22"/>
                      <w:szCs w:val="22"/>
                    </w:rPr>
                    <w:t xml:space="preserve">Inspiring </w:t>
                  </w:r>
                </w:p>
              </w:tc>
              <w:tc>
                <w:tcPr>
                  <w:tcW w:w="861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sz w:val="22"/>
                      <w:szCs w:val="22"/>
                    </w:rPr>
                    <w:t>Understanding of who I can be and how I can inspire others.</w:t>
                  </w:r>
                </w:p>
              </w:tc>
            </w:tr>
            <w:tr>
              <w:trPr>
                <w:trHeight w:val="90" w:hRule="atLeast"/>
              </w:trPr>
              <w:tc>
                <w:tcPr>
                  <w:tcW w:w="170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i/>
                      <w:sz w:val="22"/>
                      <w:szCs w:val="22"/>
                    </w:rPr>
                    <w:t xml:space="preserve">Networking </w:t>
                  </w:r>
                </w:p>
              </w:tc>
              <w:tc>
                <w:tcPr>
                  <w:tcW w:w="8615" w:type="dxa"/>
                  <w:shd w:val="clear" w:color="auto" w:fill="auto"/>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iCs/>
                      <w:sz w:val="22"/>
                      <w:szCs w:val="22"/>
                    </w:rPr>
                    <w:t>I</w:t>
                  </w:r>
                  <w:r>
                    <w:rPr>
                      <w:rFonts w:ascii="Times New Roman Regular" w:hAnsi="Times New Roman Regular" w:eastAsia="Calibri" w:cs="Times New Roman Regular"/>
                      <w:sz w:val="22"/>
                      <w:szCs w:val="22"/>
                    </w:rPr>
                    <w:t>nteractions and relationships with others.</w:t>
                  </w:r>
                </w:p>
              </w:tc>
            </w:tr>
          </w:tbl>
          <w:p>
            <w:pPr>
              <w:spacing w:afterAutospacing="1"/>
              <w:rPr>
                <w:rFonts w:ascii="Times New Roman Regular" w:hAnsi="Times New Roman Regular" w:cs="Times New Roman Regular"/>
                <w:sz w:val="22"/>
                <w:szCs w:val="22"/>
              </w:rPr>
            </w:pPr>
          </w:p>
          <w:p>
            <w:pPr>
              <w:spacing w:afterAutospacing="1"/>
              <w:rPr>
                <w:rFonts w:ascii="Times New Roman Regular" w:hAnsi="Times New Roman Regular" w:cs="Times New Roman Regular"/>
                <w:sz w:val="22"/>
                <w:szCs w:val="22"/>
              </w:rPr>
            </w:pPr>
            <w:r>
              <w:rPr>
                <w:rFonts w:ascii="Times New Roman Regular" w:hAnsi="Times New Roman Regular" w:cs="Times New Roman Regular"/>
                <w:sz w:val="22"/>
                <w:szCs w:val="22"/>
              </w:rPr>
              <w:t>You will achieve the following learning outcomes in ACCT I S 630:</w:t>
            </w:r>
          </w:p>
          <w:p>
            <w:pPr>
              <w:contextualSpacing/>
              <w:rPr>
                <w:rFonts w:ascii="Times New Roman Regular" w:hAnsi="Times New Roman Regular" w:cs="Times New Roman Regular"/>
                <w:sz w:val="22"/>
                <w:szCs w:val="22"/>
              </w:rPr>
            </w:pP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7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b/>
                      <w:sz w:val="22"/>
                      <w:szCs w:val="22"/>
                    </w:rPr>
                    <w:t>Elements</w:t>
                  </w:r>
                </w:p>
              </w:tc>
              <w:tc>
                <w:tcPr>
                  <w:tcW w:w="7645" w:type="dxa"/>
                </w:tcPr>
                <w:p>
                  <w:pPr>
                    <w:contextualSpacing/>
                    <w:rPr>
                      <w:rFonts w:ascii="Times New Roman Regular" w:hAnsi="Times New Roman Regular" w:eastAsia="Calibri" w:cs="Times New Roman Regular"/>
                      <w:b/>
                      <w:sz w:val="22"/>
                      <w:szCs w:val="22"/>
                    </w:rPr>
                  </w:pPr>
                  <w:r>
                    <w:rPr>
                      <w:rFonts w:ascii="Times New Roman Regular" w:hAnsi="Times New Roman Regular" w:eastAsia="Calibri" w:cs="Times New Roman Regular"/>
                      <w:b/>
                      <w:sz w:val="22"/>
                      <w:szCs w:val="22"/>
                    </w:rPr>
                    <w:t>Course Outcome</w:t>
                  </w:r>
                </w:p>
              </w:tc>
            </w:tr>
            <w:tr>
              <w:tc>
                <w:tcPr>
                  <w:tcW w:w="1705"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i/>
                      <w:sz w:val="22"/>
                      <w:szCs w:val="22"/>
                    </w:rPr>
                    <w:t>Knowing, Doing</w:t>
                  </w:r>
                </w:p>
              </w:tc>
              <w:tc>
                <w:tcPr>
                  <w:tcW w:w="7645"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Develop the technical knowledge to perform a high-quality audit.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i/>
                      <w:sz w:val="22"/>
                      <w:szCs w:val="22"/>
                    </w:rPr>
                    <w:t>Knowing, Doing, Being</w:t>
                  </w:r>
                </w:p>
              </w:tc>
              <w:tc>
                <w:tcPr>
                  <w:tcW w:w="7645"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 xml:space="preserve">Understand how independence, objectivity, professional skepticism, and ethical behavior contribute to a high-quality audit.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i/>
                      <w:sz w:val="22"/>
                      <w:szCs w:val="22"/>
                    </w:rPr>
                    <w:t>Being, Inspiring, Networking</w:t>
                  </w:r>
                </w:p>
              </w:tc>
              <w:tc>
                <w:tcPr>
                  <w:tcW w:w="7645"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Develop the non-technical skills to be effective team members.</w:t>
                  </w:r>
                </w:p>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Develop the necessary professionalism to build your network both within the university and the profession.</w:t>
                  </w:r>
                </w:p>
              </w:tc>
            </w:tr>
          </w:tbl>
          <w:p>
            <w:pPr>
              <w:jc w:val="both"/>
              <w:rPr>
                <w:rFonts w:ascii="Times New Roman Regular" w:hAnsi="Times New Roman Regular" w:cs="Times New Roman Regular"/>
                <w:b/>
                <w:sz w:val="22"/>
                <w:szCs w:val="22"/>
              </w:rPr>
            </w:pPr>
          </w:p>
          <w:p>
            <w:pPr>
              <w:jc w:val="both"/>
              <w:rPr>
                <w:rFonts w:ascii="Times New Roman Regular" w:hAnsi="Times New Roman Regular" w:cs="Times New Roman Regular"/>
                <w:b/>
                <w:sz w:val="22"/>
                <w:szCs w:val="22"/>
              </w:rPr>
            </w:pPr>
            <w:r>
              <w:rPr>
                <w:rFonts w:ascii="Times New Roman Regular" w:hAnsi="Times New Roman Regular" w:cs="Times New Roman Regular"/>
                <w:b/>
                <w:sz w:val="22"/>
                <w:szCs w:val="22"/>
              </w:rPr>
              <w:t>AUDITING AND RELATED BUSINESS KNOWLEDGE</w:t>
            </w:r>
          </w:p>
          <w:p>
            <w:pPr>
              <w:numPr>
                <w:ilvl w:val="0"/>
                <w:numId w:val="3"/>
              </w:numPr>
              <w:jc w:val="both"/>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You will be given an opportunity to gain knowledge of the theory and practice of financial statement auditing. Auditing is one form of assurance services, which are those that improve the context or quality of information for various decision-makers. You will be given an opportunity to gain knowledge of the judgments commonly made by auditors, including the evaluation of client-related risks, the accumulation and evaluation of audit evidence, and the issuance of an appropriate audit report. </w:t>
            </w:r>
          </w:p>
          <w:p>
            <w:pPr>
              <w:jc w:val="both"/>
              <w:rPr>
                <w:rFonts w:ascii="Times New Roman Regular" w:hAnsi="Times New Roman Regular" w:cs="Times New Roman Regular"/>
                <w:sz w:val="22"/>
                <w:szCs w:val="22"/>
              </w:rPr>
            </w:pPr>
          </w:p>
          <w:p>
            <w:pPr>
              <w:numPr>
                <w:ilvl w:val="0"/>
                <w:numId w:val="3"/>
              </w:numPr>
              <w:jc w:val="both"/>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This course is valuable to those wishing to sit for the CPA exam. It is of obvious benefit to students wishing to become external auditors - it provides insight on professional standards, and the application of those standards to the audits of client financial statements. It is also beneficial for students wishing to conduct internal or governmental audits because the judgment processes involved in external auditing are similar in those professional contexts. Students planning to become financial analysts, financial managers, or tax professionals will find this course beneficial because understanding the role of external auditors in the financial reporting process is key to understanding how management compiles financial statements that regulators and creditors will accept. Overall, this course yields knowledge about how external audits provide the credibility necessary for financial statements to add value in the capital markets. </w:t>
            </w:r>
          </w:p>
          <w:p>
            <w:pPr>
              <w:jc w:val="both"/>
              <w:rPr>
                <w:rFonts w:ascii="Times New Roman Regular" w:hAnsi="Times New Roman Regular" w:cs="Times New Roman Regular"/>
                <w:sz w:val="22"/>
                <w:szCs w:val="22"/>
              </w:rPr>
            </w:pPr>
          </w:p>
          <w:p>
            <w:pPr>
              <w:jc w:val="both"/>
              <w:rPr>
                <w:rFonts w:ascii="Times New Roman Regular" w:hAnsi="Times New Roman Regular" w:cs="Times New Roman Regular"/>
                <w:b/>
                <w:sz w:val="22"/>
                <w:szCs w:val="22"/>
              </w:rPr>
            </w:pPr>
            <w:r>
              <w:rPr>
                <w:rFonts w:ascii="Times New Roman Regular" w:hAnsi="Times New Roman Regular" w:cs="Times New Roman Regular"/>
                <w:b/>
                <w:sz w:val="22"/>
                <w:szCs w:val="22"/>
              </w:rPr>
              <w:t>CRITICAL THINKING</w:t>
            </w:r>
          </w:p>
          <w:p>
            <w:pPr>
              <w:numPr>
                <w:ilvl w:val="255"/>
                <w:numId w:val="0"/>
              </w:numPr>
              <w:jc w:val="both"/>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Critical thinking is an investigation whose purpose is to (1) analyze a problem, (2) arrive at a conclusion that integrates all available information, and (3) justify that conclusion convincingly to others. You must recognize that auditing is not like most of your previous accounting courses where you could reach a defined textbook answer. There are no debits or credits! This course will help you develop and internalize a model for making audit judgments. Thus, you will need to apply the concepts by engaging in critical thinking about them.  </w:t>
            </w:r>
          </w:p>
        </w:tc>
      </w:tr>
    </w:tbl>
    <w:p>
      <w:pPr>
        <w:rPr>
          <w:rFonts w:ascii="Times New Roman Regular" w:hAnsi="Times New Roman Regular" w:cs="Times New Roman Regular"/>
          <w:b/>
          <w:sz w:val="22"/>
          <w:szCs w:val="22"/>
        </w:rPr>
      </w:pPr>
    </w:p>
    <w:p>
      <w:pPr>
        <w:rPr>
          <w:rFonts w:ascii="Times New Roman Regular" w:hAnsi="Times New Roman Regular" w:cs="Times New Roman Regular"/>
          <w:b/>
          <w:sz w:val="22"/>
          <w:szCs w:val="22"/>
        </w:rPr>
      </w:pPr>
      <w:r>
        <w:rPr>
          <w:rFonts w:ascii="Times New Roman Regular" w:hAnsi="Times New Roman Regular" w:cs="Times New Roman Regular"/>
          <w:b/>
          <w:sz w:val="22"/>
          <w:szCs w:val="22"/>
        </w:rPr>
        <w:t>How to use the textbook:</w:t>
      </w:r>
    </w:p>
    <w:tbl>
      <w:tblPr>
        <w:tblStyle w:val="12"/>
        <w:tblW w:w="11097"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10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right"/>
        </w:trPr>
        <w:tc>
          <w:tcPr>
            <w:tcW w:w="886" w:type="dxa"/>
            <w:shd w:val="clear" w:color="auto" w:fill="auto"/>
          </w:tcPr>
          <w:p>
            <w:pPr>
              <w:numPr>
                <w:ilvl w:val="0"/>
                <w:numId w:val="4"/>
              </w:numPr>
              <w:ind w:left="360" w:firstLine="0"/>
              <w:contextualSpacing/>
              <w:rPr>
                <w:rFonts w:ascii="Times New Roman Regular" w:hAnsi="Times New Roman Regular" w:eastAsia="Calibri" w:cs="Times New Roman Regular"/>
                <w:sz w:val="22"/>
                <w:szCs w:val="22"/>
              </w:rPr>
            </w:pPr>
          </w:p>
        </w:tc>
        <w:tc>
          <w:tcPr>
            <w:tcW w:w="10211"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 xml:space="preserve">Start by viewing the </w:t>
            </w:r>
            <w:r>
              <w:rPr>
                <w:rFonts w:ascii="Times New Roman Regular" w:hAnsi="Times New Roman Regular" w:eastAsia="Calibri" w:cs="Times New Roman Regular"/>
                <w:b/>
                <w:i/>
                <w:sz w:val="22"/>
                <w:szCs w:val="22"/>
              </w:rPr>
              <w:t xml:space="preserve">Audit Opinion Formulation Process </w:t>
            </w:r>
            <w:r>
              <w:rPr>
                <w:rFonts w:ascii="Times New Roman Regular" w:hAnsi="Times New Roman Regular" w:eastAsia="Calibri" w:cs="Times New Roman Regular"/>
                <w:sz w:val="22"/>
                <w:szCs w:val="22"/>
              </w:rPr>
              <w:t>diagram at the outset of each chapter. Relevant chapter topics are highlighted so you can track your progress through the phases of conducting a quality audit.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7" w:hRule="atLeast"/>
          <w:jc w:val="right"/>
        </w:trPr>
        <w:tc>
          <w:tcPr>
            <w:tcW w:w="886" w:type="dxa"/>
            <w:shd w:val="clear" w:color="auto" w:fill="auto"/>
          </w:tcPr>
          <w:p>
            <w:pPr>
              <w:numPr>
                <w:ilvl w:val="0"/>
                <w:numId w:val="4"/>
              </w:numPr>
              <w:ind w:left="360" w:firstLine="0"/>
              <w:contextualSpacing/>
              <w:jc w:val="both"/>
              <w:rPr>
                <w:rFonts w:ascii="Times New Roman Regular" w:hAnsi="Times New Roman Regular" w:eastAsia="Calibri" w:cs="Times New Roman Regular"/>
                <w:sz w:val="22"/>
                <w:szCs w:val="22"/>
              </w:rPr>
            </w:pPr>
          </w:p>
        </w:tc>
        <w:tc>
          <w:tcPr>
            <w:tcW w:w="10211"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 xml:space="preserve">Take a few minutes to read the </w:t>
            </w:r>
            <w:r>
              <w:rPr>
                <w:rFonts w:ascii="Times New Roman Regular" w:hAnsi="Times New Roman Regular" w:eastAsia="Calibri" w:cs="Times New Roman Regular"/>
                <w:b/>
                <w:i/>
                <w:sz w:val="22"/>
                <w:szCs w:val="22"/>
              </w:rPr>
              <w:t>What’s Covered</w:t>
            </w:r>
            <w:r>
              <w:rPr>
                <w:rFonts w:ascii="Times New Roman Regular" w:hAnsi="Times New Roman Regular" w:eastAsia="Calibri" w:cs="Times New Roman Regular"/>
                <w:sz w:val="22"/>
                <w:szCs w:val="22"/>
              </w:rPr>
              <w:t xml:space="preserve"> feature, which briefly describes the main themes of the chapter. Then, review the </w:t>
            </w:r>
            <w:r>
              <w:rPr>
                <w:rFonts w:ascii="Times New Roman Regular" w:hAnsi="Times New Roman Regular" w:eastAsia="Calibri" w:cs="Times New Roman Regular"/>
                <w:b/>
                <w:i/>
                <w:sz w:val="22"/>
                <w:szCs w:val="22"/>
              </w:rPr>
              <w:t>Learning Objectives</w:t>
            </w:r>
            <w:r>
              <w:rPr>
                <w:rFonts w:ascii="Times New Roman Regular" w:hAnsi="Times New Roman Regular" w:eastAsia="Calibri" w:cs="Times New Roman Regular"/>
                <w:sz w:val="22"/>
                <w:szCs w:val="22"/>
              </w:rPr>
              <w:t xml:space="preserve">. Just as you begin to read the chapter, quickly read the </w:t>
            </w:r>
            <w:r>
              <w:rPr>
                <w:rFonts w:ascii="Times New Roman Regular" w:hAnsi="Times New Roman Regular" w:eastAsia="Calibri" w:cs="Times New Roman Regular"/>
                <w:b/>
                <w:i/>
                <w:sz w:val="22"/>
                <w:szCs w:val="22"/>
              </w:rPr>
              <w:t xml:space="preserve">What You Will Learn </w:t>
            </w:r>
            <w:r>
              <w:rPr>
                <w:rFonts w:ascii="Times New Roman Regular" w:hAnsi="Times New Roman Regular" w:eastAsia="Calibri" w:cs="Times New Roman Regular"/>
                <w:sz w:val="22"/>
                <w:szCs w:val="22"/>
              </w:rPr>
              <w:t xml:space="preserve">questions. Engaging in these simple and quick actions will help you know what to expect out of each chapter, which research shows will help you organize and recall your knowledge.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5" w:hRule="atLeast"/>
          <w:jc w:val="right"/>
        </w:trPr>
        <w:tc>
          <w:tcPr>
            <w:tcW w:w="886" w:type="dxa"/>
            <w:shd w:val="clear" w:color="auto" w:fill="auto"/>
          </w:tcPr>
          <w:p>
            <w:pPr>
              <w:numPr>
                <w:ilvl w:val="0"/>
                <w:numId w:val="4"/>
              </w:numPr>
              <w:ind w:left="360" w:firstLine="0"/>
              <w:contextualSpacing/>
              <w:jc w:val="both"/>
              <w:rPr>
                <w:rFonts w:ascii="Times New Roman Regular" w:hAnsi="Times New Roman Regular" w:eastAsia="Calibri" w:cs="Times New Roman Regular"/>
                <w:sz w:val="22"/>
                <w:szCs w:val="22"/>
              </w:rPr>
            </w:pPr>
          </w:p>
        </w:tc>
        <w:tc>
          <w:tcPr>
            <w:tcW w:w="10211"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 xml:space="preserve">To help see the practical application for each chapter, read the </w:t>
            </w:r>
            <w:r>
              <w:rPr>
                <w:rFonts w:ascii="Times New Roman Regular" w:hAnsi="Times New Roman Regular" w:eastAsia="Calibri" w:cs="Times New Roman Regular"/>
                <w:b/>
                <w:i/>
                <w:sz w:val="22"/>
                <w:szCs w:val="22"/>
              </w:rPr>
              <w:t>Why It Matters</w:t>
            </w:r>
            <w:r>
              <w:rPr>
                <w:rFonts w:ascii="Times New Roman Regular" w:hAnsi="Times New Roman Regular" w:eastAsia="Calibri" w:cs="Times New Roman Regular"/>
                <w:sz w:val="22"/>
                <w:szCs w:val="22"/>
              </w:rPr>
              <w:t xml:space="preserve"> feature at the outset of each chapter. This feature will help you see beyond the factual insights provided in the chapters.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2" w:hRule="atLeast"/>
          <w:jc w:val="right"/>
        </w:trPr>
        <w:tc>
          <w:tcPr>
            <w:tcW w:w="886" w:type="dxa"/>
            <w:shd w:val="clear" w:color="auto" w:fill="auto"/>
          </w:tcPr>
          <w:p>
            <w:pPr>
              <w:numPr>
                <w:ilvl w:val="0"/>
                <w:numId w:val="4"/>
              </w:numPr>
              <w:ind w:left="360" w:firstLine="0"/>
              <w:contextualSpacing/>
              <w:jc w:val="both"/>
              <w:rPr>
                <w:rFonts w:ascii="Times New Roman Regular" w:hAnsi="Times New Roman Regular" w:eastAsia="Calibri" w:cs="Times New Roman Regular"/>
                <w:sz w:val="22"/>
                <w:szCs w:val="22"/>
              </w:rPr>
            </w:pPr>
          </w:p>
        </w:tc>
        <w:tc>
          <w:tcPr>
            <w:tcW w:w="10211" w:type="dxa"/>
            <w:shd w:val="clear" w:color="auto" w:fill="auto"/>
          </w:tcPr>
          <w:p>
            <w:pPr>
              <w:ind w:left="720" w:hanging="720"/>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 xml:space="preserve">Read and contemplate the following critical thinking features: </w:t>
            </w:r>
          </w:p>
          <w:p>
            <w:pPr>
              <w:tabs>
                <w:tab w:val="left" w:pos="360"/>
              </w:tabs>
              <w:ind w:left="720" w:hanging="720"/>
              <w:contextualSpacing/>
              <w:rPr>
                <w:rFonts w:ascii="Times New Roman Regular" w:hAnsi="Times New Roman Regular" w:eastAsia="Calibri" w:cs="Times New Roman Regular"/>
                <w:bCs/>
                <w:iCs/>
                <w:sz w:val="22"/>
                <w:szCs w:val="22"/>
              </w:rPr>
            </w:pPr>
            <w:r>
              <w:rPr>
                <w:rFonts w:ascii="Times New Roman Regular" w:hAnsi="Times New Roman Regular" w:eastAsia="Calibri" w:cs="Times New Roman Regular"/>
                <w:b/>
                <w:bCs/>
                <w:i/>
                <w:iCs/>
                <w:sz w:val="22"/>
                <w:szCs w:val="22"/>
              </w:rPr>
              <w:t xml:space="preserve">“Prompt for Critical Thinking”. </w:t>
            </w:r>
            <w:r>
              <w:rPr>
                <w:rFonts w:ascii="Times New Roman Regular" w:hAnsi="Times New Roman Regular" w:eastAsia="Calibri" w:cs="Times New Roman Regular"/>
                <w:bCs/>
                <w:iCs/>
                <w:sz w:val="22"/>
                <w:szCs w:val="22"/>
              </w:rPr>
              <w:t xml:space="preserve">This feature encourages you to engage in critical thinking as you acquire knowledge. This feature is intentionally creative and varies widely in structure based upon the learning objective to which it is related. We also provide potential answers to these prompts at the end of the chapter. </w:t>
            </w:r>
          </w:p>
          <w:p>
            <w:pPr>
              <w:ind w:left="720" w:hanging="720"/>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b/>
                <w:bCs/>
                <w:i/>
                <w:iCs/>
                <w:sz w:val="22"/>
                <w:szCs w:val="22"/>
              </w:rPr>
              <w:t>“What Do You Think?”</w:t>
            </w:r>
            <w:r>
              <w:rPr>
                <w:rFonts w:ascii="Times New Roman Regular" w:hAnsi="Times New Roman Regular" w:eastAsia="Calibri" w:cs="Times New Roman Regular"/>
                <w:sz w:val="22"/>
                <w:szCs w:val="22"/>
              </w:rPr>
              <w:t xml:space="preserve"> This feature will help encourage your cognitive engagement, and facilitate critical thinking. There are no ‘right’ or ‘wrong’ answers to these prompts.</w:t>
            </w:r>
          </w:p>
          <w:p>
            <w:pPr>
              <w:ind w:left="720" w:hanging="720"/>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b/>
                <w:bCs/>
                <w:i/>
                <w:iCs/>
                <w:sz w:val="22"/>
                <w:szCs w:val="22"/>
              </w:rPr>
              <w:t xml:space="preserve">“Focus on Fraud”. </w:t>
            </w:r>
            <w:r>
              <w:rPr>
                <w:rFonts w:ascii="Times New Roman Regular" w:hAnsi="Times New Roman Regular" w:eastAsia="Calibri" w:cs="Times New Roman Regular"/>
                <w:sz w:val="22"/>
                <w:szCs w:val="22"/>
              </w:rPr>
              <w:t>Fraud prevention and detection is one of the most important roles that auditors play in providing assurance with respect to financial reporting. This feature will provide you with examples of fraud.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1" w:hRule="atLeast"/>
          <w:jc w:val="right"/>
        </w:trPr>
        <w:tc>
          <w:tcPr>
            <w:tcW w:w="886" w:type="dxa"/>
            <w:shd w:val="clear" w:color="auto" w:fill="auto"/>
          </w:tcPr>
          <w:p>
            <w:pPr>
              <w:numPr>
                <w:ilvl w:val="0"/>
                <w:numId w:val="4"/>
              </w:numPr>
              <w:ind w:left="360" w:firstLine="0"/>
              <w:contextualSpacing/>
              <w:jc w:val="both"/>
              <w:rPr>
                <w:rFonts w:ascii="Times New Roman Regular" w:hAnsi="Times New Roman Regular" w:eastAsia="Calibri" w:cs="Times New Roman Regular"/>
                <w:sz w:val="22"/>
                <w:szCs w:val="22"/>
              </w:rPr>
            </w:pPr>
          </w:p>
        </w:tc>
        <w:tc>
          <w:tcPr>
            <w:tcW w:w="10211"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 xml:space="preserve">At the conclusion of each learning objective, complete the </w:t>
            </w:r>
            <w:r>
              <w:rPr>
                <w:rFonts w:ascii="Times New Roman Regular" w:hAnsi="Times New Roman Regular" w:eastAsia="Calibri" w:cs="Times New Roman Regular"/>
                <w:b/>
                <w:i/>
                <w:sz w:val="22"/>
                <w:szCs w:val="22"/>
              </w:rPr>
              <w:t xml:space="preserve">Check Your Basic Knowledge </w:t>
            </w:r>
            <w:r>
              <w:rPr>
                <w:rFonts w:ascii="Times New Roman Regular" w:hAnsi="Times New Roman Regular" w:eastAsia="Calibri" w:cs="Times New Roman Regular"/>
                <w:sz w:val="22"/>
                <w:szCs w:val="22"/>
              </w:rPr>
              <w:t>feature. These include TF and MC questions. The answers are in the textbook at the end of each chapter.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right"/>
        </w:trPr>
        <w:tc>
          <w:tcPr>
            <w:tcW w:w="886" w:type="dxa"/>
            <w:shd w:val="clear" w:color="auto" w:fill="auto"/>
          </w:tcPr>
          <w:p>
            <w:pPr>
              <w:numPr>
                <w:ilvl w:val="0"/>
                <w:numId w:val="4"/>
              </w:numPr>
              <w:ind w:left="360" w:firstLine="0"/>
              <w:contextualSpacing/>
              <w:jc w:val="both"/>
              <w:rPr>
                <w:rFonts w:ascii="Times New Roman Regular" w:hAnsi="Times New Roman Regular" w:eastAsia="Calibri" w:cs="Times New Roman Regular"/>
                <w:sz w:val="22"/>
                <w:szCs w:val="22"/>
              </w:rPr>
            </w:pPr>
          </w:p>
        </w:tc>
        <w:tc>
          <w:tcPr>
            <w:tcW w:w="10211"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Attend to the Exhibits and Figures! These lists and diagrams will be very helpful to you as you organize your knowledge in preparation for both the exams in this class, as well as the CPA exam.</w:t>
            </w:r>
          </w:p>
          <w:p>
            <w:pPr>
              <w:contextualSpacing/>
              <w:rPr>
                <w:rFonts w:ascii="Times New Roman Regular" w:hAnsi="Times New Roman Regular" w:eastAsia="Calibri"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right"/>
        </w:trPr>
        <w:tc>
          <w:tcPr>
            <w:tcW w:w="886" w:type="dxa"/>
            <w:shd w:val="clear" w:color="auto" w:fill="auto"/>
          </w:tcPr>
          <w:p>
            <w:pPr>
              <w:numPr>
                <w:ilvl w:val="0"/>
                <w:numId w:val="4"/>
              </w:numPr>
              <w:ind w:left="360" w:firstLine="0"/>
              <w:contextualSpacing/>
              <w:jc w:val="both"/>
              <w:rPr>
                <w:rFonts w:ascii="Times New Roman Regular" w:hAnsi="Times New Roman Regular" w:eastAsia="Calibri" w:cs="Times New Roman Regular"/>
                <w:sz w:val="22"/>
                <w:szCs w:val="22"/>
              </w:rPr>
            </w:pPr>
          </w:p>
        </w:tc>
        <w:tc>
          <w:tcPr>
            <w:tcW w:w="10211"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 xml:space="preserve">Examine the </w:t>
            </w:r>
            <w:r>
              <w:rPr>
                <w:rFonts w:ascii="Times New Roman Regular" w:hAnsi="Times New Roman Regular" w:eastAsia="Calibri" w:cs="Times New Roman Regular"/>
                <w:b/>
                <w:i/>
                <w:sz w:val="22"/>
                <w:szCs w:val="22"/>
              </w:rPr>
              <w:t xml:space="preserve">Let’s Review </w:t>
            </w:r>
            <w:r>
              <w:rPr>
                <w:rFonts w:ascii="Times New Roman Regular" w:hAnsi="Times New Roman Regular" w:eastAsia="Calibri" w:cs="Times New Roman Regular"/>
                <w:sz w:val="22"/>
                <w:szCs w:val="22"/>
              </w:rPr>
              <w:t xml:space="preserve">feature to ensure that you have a solid understanding of the basic concepts of the chapter. Review the </w:t>
            </w:r>
            <w:r>
              <w:rPr>
                <w:rFonts w:ascii="Times New Roman Regular" w:hAnsi="Times New Roman Regular" w:eastAsia="Calibri" w:cs="Times New Roman Regular"/>
                <w:b/>
                <w:i/>
                <w:sz w:val="22"/>
                <w:szCs w:val="22"/>
              </w:rPr>
              <w:t xml:space="preserve">Significant Terms </w:t>
            </w:r>
            <w:r>
              <w:rPr>
                <w:rFonts w:ascii="Times New Roman Regular" w:hAnsi="Times New Roman Regular" w:eastAsia="Calibri" w:cs="Times New Roman Regular"/>
                <w:sz w:val="22"/>
                <w:szCs w:val="22"/>
              </w:rPr>
              <w:t xml:space="preserve">list and use it as a way to review your understanding of the material that you have read about within the chapter. </w:t>
            </w:r>
          </w:p>
          <w:p>
            <w:pPr>
              <w:contextualSpacing/>
              <w:rPr>
                <w:rFonts w:ascii="Times New Roman Regular" w:hAnsi="Times New Roman Regular" w:eastAsia="Calibri"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right"/>
        </w:trPr>
        <w:tc>
          <w:tcPr>
            <w:tcW w:w="886" w:type="dxa"/>
            <w:shd w:val="clear" w:color="auto" w:fill="auto"/>
          </w:tcPr>
          <w:p>
            <w:pPr>
              <w:numPr>
                <w:ilvl w:val="0"/>
                <w:numId w:val="4"/>
              </w:numPr>
              <w:ind w:left="360" w:firstLine="0"/>
              <w:contextualSpacing/>
              <w:jc w:val="both"/>
              <w:rPr>
                <w:rFonts w:ascii="Times New Roman Regular" w:hAnsi="Times New Roman Regular" w:eastAsia="Calibri" w:cs="Times New Roman Regular"/>
                <w:sz w:val="22"/>
                <w:szCs w:val="22"/>
              </w:rPr>
            </w:pPr>
          </w:p>
        </w:tc>
        <w:tc>
          <w:tcPr>
            <w:tcW w:w="10211" w:type="dxa"/>
            <w:shd w:val="clear" w:color="auto" w:fill="auto"/>
          </w:tcPr>
          <w:p>
            <w:pPr>
              <w:contextualSpacing/>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 xml:space="preserve">Complete any </w:t>
            </w:r>
            <w:r>
              <w:rPr>
                <w:rFonts w:ascii="Times New Roman Regular" w:hAnsi="Times New Roman Regular" w:eastAsia="Calibri" w:cs="Times New Roman Regular"/>
                <w:b/>
                <w:i/>
                <w:sz w:val="22"/>
                <w:szCs w:val="22"/>
              </w:rPr>
              <w:t xml:space="preserve">End-of-Chapter Cases </w:t>
            </w:r>
            <w:r>
              <w:rPr>
                <w:rFonts w:ascii="Times New Roman Regular" w:hAnsi="Times New Roman Regular" w:eastAsia="Calibri" w:cs="Times New Roman Regular"/>
                <w:sz w:val="22"/>
                <w:szCs w:val="22"/>
              </w:rPr>
              <w:t>that are assigned.</w:t>
            </w:r>
          </w:p>
        </w:tc>
      </w:tr>
    </w:tbl>
    <w:p>
      <w:pPr>
        <w:rPr>
          <w:rFonts w:ascii="Times New Roman Regular" w:hAnsi="Times New Roman Regular" w:cs="Times New Roman Regular"/>
          <w:b/>
          <w:sz w:val="22"/>
          <w:szCs w:val="22"/>
          <w:u w:val="single"/>
        </w:rPr>
      </w:pPr>
    </w:p>
    <w:p>
      <w:pPr>
        <w:jc w:val="center"/>
        <w:rPr>
          <w:rFonts w:ascii="Times New Roman Regular" w:hAnsi="Times New Roman Regular" w:cs="Times New Roman Regular"/>
          <w:b/>
          <w:sz w:val="22"/>
          <w:szCs w:val="22"/>
          <w:u w:val="single"/>
        </w:rPr>
      </w:pPr>
      <w:r>
        <w:rPr>
          <w:rFonts w:ascii="Times New Roman Regular" w:hAnsi="Times New Roman Regular" w:cs="Times New Roman Regular"/>
          <w:b/>
          <w:sz w:val="22"/>
          <w:szCs w:val="22"/>
          <w:u w:val="single"/>
        </w:rPr>
        <w:t>GRADING</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7"/>
        <w:gridCol w:w="4689"/>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07" w:type="dxa"/>
            <w:shd w:val="clear" w:color="auto" w:fill="auto"/>
          </w:tcPr>
          <w:p>
            <w:pPr>
              <w:rPr>
                <w:rFonts w:ascii="Times New Roman Regular" w:hAnsi="Times New Roman Regular" w:eastAsia="Calibri" w:cs="Times New Roman Regular"/>
                <w:b/>
                <w:sz w:val="22"/>
                <w:szCs w:val="22"/>
              </w:rPr>
            </w:pPr>
            <w:r>
              <w:rPr>
                <w:rFonts w:ascii="Times New Roman Regular" w:hAnsi="Times New Roman Regular" w:eastAsia="Calibri" w:cs="Times New Roman Regular"/>
                <w:b/>
                <w:sz w:val="22"/>
                <w:szCs w:val="22"/>
              </w:rPr>
              <w:t>Grading Element</w:t>
            </w:r>
          </w:p>
        </w:tc>
        <w:tc>
          <w:tcPr>
            <w:tcW w:w="4689" w:type="dxa"/>
            <w:shd w:val="clear" w:color="auto" w:fill="auto"/>
          </w:tcPr>
          <w:p>
            <w:pPr>
              <w:rPr>
                <w:rFonts w:ascii="Times New Roman Regular" w:hAnsi="Times New Roman Regular" w:eastAsia="Calibri" w:cs="Times New Roman Regular"/>
                <w:b/>
                <w:sz w:val="22"/>
                <w:szCs w:val="22"/>
              </w:rPr>
            </w:pPr>
            <w:r>
              <w:rPr>
                <w:rFonts w:ascii="Times New Roman Regular" w:hAnsi="Times New Roman Regular" w:eastAsia="Calibri" w:cs="Times New Roman Regular"/>
                <w:b/>
                <w:sz w:val="22"/>
                <w:szCs w:val="22"/>
              </w:rPr>
              <w:t>Description</w:t>
            </w:r>
          </w:p>
        </w:tc>
        <w:tc>
          <w:tcPr>
            <w:tcW w:w="1434" w:type="dxa"/>
            <w:shd w:val="clear" w:color="auto" w:fill="auto"/>
          </w:tcPr>
          <w:p>
            <w:pPr>
              <w:jc w:val="center"/>
              <w:rPr>
                <w:rFonts w:ascii="Times New Roman Regular" w:hAnsi="Times New Roman Regular" w:eastAsia="Calibri" w:cs="Times New Roman Regular"/>
                <w:b/>
                <w:sz w:val="22"/>
                <w:szCs w:val="22"/>
              </w:rPr>
            </w:pPr>
            <w:r>
              <w:rPr>
                <w:rFonts w:ascii="Times New Roman Regular" w:hAnsi="Times New Roman Regular" w:eastAsia="Calibri" w:cs="Times New Roman Regular"/>
                <w:b/>
                <w:sz w:val="22"/>
                <w:szCs w:val="22"/>
              </w:rPr>
              <w:t>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07" w:type="dxa"/>
            <w:shd w:val="clear" w:color="auto" w:fill="auto"/>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Exam 1</w:t>
            </w:r>
          </w:p>
        </w:tc>
        <w:tc>
          <w:tcPr>
            <w:tcW w:w="4689" w:type="dxa"/>
            <w:shd w:val="clear" w:color="auto" w:fill="auto"/>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Chapters 1-5-ONLINE-Honorlock</w:t>
            </w:r>
          </w:p>
        </w:tc>
        <w:tc>
          <w:tcPr>
            <w:tcW w:w="1434" w:type="dxa"/>
            <w:shd w:val="clear" w:color="auto" w:fill="auto"/>
          </w:tcPr>
          <w:p>
            <w:pPr>
              <w:jc w:val="cente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07" w:type="dxa"/>
            <w:shd w:val="clear" w:color="auto" w:fill="auto"/>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Exam 2 (not cumulative)</w:t>
            </w:r>
          </w:p>
        </w:tc>
        <w:tc>
          <w:tcPr>
            <w:tcW w:w="4689" w:type="dxa"/>
            <w:shd w:val="clear" w:color="auto" w:fill="auto"/>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Chapters 6-10-ONLINE-Honorlock</w:t>
            </w:r>
          </w:p>
        </w:tc>
        <w:tc>
          <w:tcPr>
            <w:tcW w:w="1434" w:type="dxa"/>
            <w:shd w:val="clear" w:color="auto" w:fill="auto"/>
          </w:tcPr>
          <w:p>
            <w:pPr>
              <w:jc w:val="cente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07" w:type="dxa"/>
            <w:shd w:val="clear" w:color="auto" w:fill="auto"/>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Exam 3 (not cumulative)</w:t>
            </w:r>
          </w:p>
        </w:tc>
        <w:tc>
          <w:tcPr>
            <w:tcW w:w="4689" w:type="dxa"/>
            <w:shd w:val="clear" w:color="auto" w:fill="auto"/>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Chapters 11, 14, &amp; 15-ONLINE-Honorlock</w:t>
            </w:r>
          </w:p>
        </w:tc>
        <w:tc>
          <w:tcPr>
            <w:tcW w:w="1434" w:type="dxa"/>
            <w:shd w:val="clear" w:color="auto" w:fill="auto"/>
          </w:tcPr>
          <w:p>
            <w:pPr>
              <w:jc w:val="cente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07" w:type="dxa"/>
            <w:shd w:val="clear" w:color="auto" w:fill="auto"/>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Weekly Quizzes</w:t>
            </w:r>
          </w:p>
        </w:tc>
        <w:tc>
          <w:tcPr>
            <w:tcW w:w="4689" w:type="dxa"/>
            <w:shd w:val="clear" w:color="auto" w:fill="auto"/>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13 quizzes, you drop the lowest three scores</w:t>
            </w:r>
          </w:p>
        </w:tc>
        <w:tc>
          <w:tcPr>
            <w:tcW w:w="1434" w:type="dxa"/>
            <w:shd w:val="clear" w:color="auto" w:fill="auto"/>
          </w:tcPr>
          <w:p>
            <w:pPr>
              <w:jc w:val="cente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07" w:type="dxa"/>
            <w:shd w:val="clear" w:color="auto" w:fill="auto"/>
          </w:tcPr>
          <w:p>
            <w:pPr>
              <w:jc w:val="right"/>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Total</w:t>
            </w:r>
          </w:p>
        </w:tc>
        <w:tc>
          <w:tcPr>
            <w:tcW w:w="4689" w:type="dxa"/>
            <w:shd w:val="clear" w:color="auto" w:fill="auto"/>
          </w:tcPr>
          <w:p>
            <w:pPr>
              <w:rPr>
                <w:rFonts w:ascii="Times New Roman Regular" w:hAnsi="Times New Roman Regular" w:eastAsia="Calibri" w:cs="Times New Roman Regular"/>
                <w:sz w:val="22"/>
                <w:szCs w:val="22"/>
              </w:rPr>
            </w:pPr>
          </w:p>
        </w:tc>
        <w:tc>
          <w:tcPr>
            <w:tcW w:w="1434" w:type="dxa"/>
            <w:shd w:val="clear" w:color="auto" w:fill="auto"/>
          </w:tcPr>
          <w:p>
            <w:pPr>
              <w:jc w:val="center"/>
              <w:rPr>
                <w:rFonts w:ascii="Times New Roman Regular" w:hAnsi="Times New Roman Regular" w:eastAsia="Calibri" w:cs="Times New Roman Regular"/>
                <w:b/>
                <w:sz w:val="22"/>
                <w:szCs w:val="22"/>
                <w:u w:val="double"/>
              </w:rPr>
            </w:pPr>
            <w:r>
              <w:rPr>
                <w:rFonts w:ascii="Times New Roman Regular" w:hAnsi="Times New Roman Regular" w:eastAsia="Calibri" w:cs="Times New Roman Regular"/>
                <w:b/>
                <w:sz w:val="22"/>
                <w:szCs w:val="22"/>
                <w:u w:val="double"/>
              </w:rPr>
              <w:t>500</w:t>
            </w:r>
          </w:p>
        </w:tc>
      </w:tr>
    </w:tbl>
    <w:p>
      <w:pPr>
        <w:rPr>
          <w:rFonts w:ascii="Times New Roman Regular" w:hAnsi="Times New Roman Regular" w:cs="Times New Roman Regular"/>
          <w:b/>
          <w:sz w:val="22"/>
          <w:szCs w:val="22"/>
          <w:u w:val="single"/>
        </w:rPr>
      </w:pP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1"/>
        <w:gridCol w:w="74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31" w:type="dxa"/>
            <w:vMerge w:val="restart"/>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i/>
                <w:iCs/>
                <w:sz w:val="20"/>
                <w:szCs w:val="20"/>
              </w:rPr>
              <w:t>I will assign letter grades only at the end of the semester using the APPROXIMATE cut-offs in the table below. Cut-offs will ultimately be decided based on a curve relative to student performance in any particular semester.</w:t>
            </w:r>
          </w:p>
        </w:tc>
        <w:tc>
          <w:tcPr>
            <w:tcW w:w="74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A</w:t>
            </w:r>
          </w:p>
        </w:tc>
        <w:tc>
          <w:tcPr>
            <w:tcW w:w="165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90% and above</w:t>
            </w:r>
          </w:p>
        </w:tc>
      </w:tr>
      <w:tr>
        <w:trPr>
          <w:jc w:val="center"/>
        </w:trPr>
        <w:tc>
          <w:tcPr>
            <w:tcW w:w="7231" w:type="dxa"/>
            <w:vMerge w:val="continue"/>
            <w:vAlign w:val="center"/>
          </w:tcPr>
          <w:p>
            <w:pPr>
              <w:rPr>
                <w:rFonts w:ascii="Times New Roman Regular" w:hAnsi="Times New Roman Regular" w:eastAsia="Calibri" w:cs="Times New Roman Regular"/>
                <w:sz w:val="22"/>
                <w:szCs w:val="22"/>
              </w:rPr>
            </w:pPr>
          </w:p>
        </w:tc>
        <w:tc>
          <w:tcPr>
            <w:tcW w:w="74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AB</w:t>
            </w:r>
          </w:p>
        </w:tc>
        <w:tc>
          <w:tcPr>
            <w:tcW w:w="165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86-89%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31" w:type="dxa"/>
            <w:vMerge w:val="continue"/>
            <w:vAlign w:val="center"/>
          </w:tcPr>
          <w:p>
            <w:pPr>
              <w:rPr>
                <w:rFonts w:ascii="Times New Roman Regular" w:hAnsi="Times New Roman Regular" w:eastAsia="Calibri" w:cs="Times New Roman Regular"/>
                <w:sz w:val="22"/>
                <w:szCs w:val="22"/>
              </w:rPr>
            </w:pPr>
          </w:p>
        </w:tc>
        <w:tc>
          <w:tcPr>
            <w:tcW w:w="74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B</w:t>
            </w:r>
          </w:p>
        </w:tc>
        <w:tc>
          <w:tcPr>
            <w:tcW w:w="165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80-85%</w:t>
            </w:r>
          </w:p>
        </w:tc>
      </w:tr>
      <w:tr>
        <w:trPr>
          <w:jc w:val="center"/>
        </w:trPr>
        <w:tc>
          <w:tcPr>
            <w:tcW w:w="7231" w:type="dxa"/>
            <w:vMerge w:val="continue"/>
            <w:vAlign w:val="center"/>
          </w:tcPr>
          <w:p>
            <w:pPr>
              <w:rPr>
                <w:rFonts w:ascii="Times New Roman Regular" w:hAnsi="Times New Roman Regular" w:eastAsia="Calibri" w:cs="Times New Roman Regular"/>
                <w:sz w:val="22"/>
                <w:szCs w:val="22"/>
              </w:rPr>
            </w:pPr>
          </w:p>
        </w:tc>
        <w:tc>
          <w:tcPr>
            <w:tcW w:w="74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BC</w:t>
            </w:r>
          </w:p>
        </w:tc>
        <w:tc>
          <w:tcPr>
            <w:tcW w:w="165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76-79%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31" w:type="dxa"/>
            <w:vMerge w:val="continue"/>
            <w:vAlign w:val="center"/>
          </w:tcPr>
          <w:p>
            <w:pPr>
              <w:rPr>
                <w:rFonts w:ascii="Times New Roman Regular" w:hAnsi="Times New Roman Regular" w:eastAsia="Calibri" w:cs="Times New Roman Regular"/>
                <w:sz w:val="22"/>
                <w:szCs w:val="22"/>
              </w:rPr>
            </w:pPr>
          </w:p>
        </w:tc>
        <w:tc>
          <w:tcPr>
            <w:tcW w:w="74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C</w:t>
            </w:r>
          </w:p>
        </w:tc>
        <w:tc>
          <w:tcPr>
            <w:tcW w:w="165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65-70%</w:t>
            </w:r>
          </w:p>
        </w:tc>
      </w:tr>
      <w:tr>
        <w:trPr>
          <w:jc w:val="center"/>
        </w:trPr>
        <w:tc>
          <w:tcPr>
            <w:tcW w:w="7231" w:type="dxa"/>
            <w:vMerge w:val="continue"/>
            <w:vAlign w:val="center"/>
          </w:tcPr>
          <w:p>
            <w:pPr>
              <w:rPr>
                <w:rFonts w:ascii="Times New Roman Regular" w:hAnsi="Times New Roman Regular" w:eastAsia="Calibri" w:cs="Times New Roman Regular"/>
                <w:sz w:val="22"/>
                <w:szCs w:val="22"/>
              </w:rPr>
            </w:pPr>
          </w:p>
        </w:tc>
        <w:tc>
          <w:tcPr>
            <w:tcW w:w="74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D</w:t>
            </w:r>
          </w:p>
        </w:tc>
        <w:tc>
          <w:tcPr>
            <w:tcW w:w="165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60-64%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31" w:type="dxa"/>
            <w:vMerge w:val="continue"/>
            <w:vAlign w:val="center"/>
          </w:tcPr>
          <w:p>
            <w:pPr>
              <w:rPr>
                <w:rFonts w:ascii="Times New Roman Regular" w:hAnsi="Times New Roman Regular" w:eastAsia="Calibri" w:cs="Times New Roman Regular"/>
                <w:sz w:val="22"/>
                <w:szCs w:val="22"/>
              </w:rPr>
            </w:pPr>
          </w:p>
        </w:tc>
        <w:tc>
          <w:tcPr>
            <w:tcW w:w="74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F</w:t>
            </w:r>
          </w:p>
        </w:tc>
        <w:tc>
          <w:tcPr>
            <w:tcW w:w="1656" w:type="dxa"/>
            <w:vAlign w:val="center"/>
          </w:tcPr>
          <w:p>
            <w:pPr>
              <w:rPr>
                <w:rFonts w:ascii="Times New Roman Regular" w:hAnsi="Times New Roman Regular" w:eastAsia="Calibri" w:cs="Times New Roman Regular"/>
                <w:sz w:val="22"/>
                <w:szCs w:val="22"/>
              </w:rPr>
            </w:pPr>
            <w:r>
              <w:rPr>
                <w:rFonts w:ascii="Times New Roman Regular" w:hAnsi="Times New Roman Regular" w:eastAsia="Calibri" w:cs="Times New Roman Regular"/>
                <w:sz w:val="22"/>
                <w:szCs w:val="22"/>
              </w:rPr>
              <w:t>Below 60%</w:t>
            </w:r>
          </w:p>
        </w:tc>
      </w:tr>
    </w:tbl>
    <w:p>
      <w:pPr>
        <w:rPr>
          <w:rFonts w:ascii="Times New Roman Regular" w:hAnsi="Times New Roman Regular" w:cs="Times New Roman Regular"/>
          <w:sz w:val="22"/>
          <w:szCs w:val="22"/>
          <w:u w:val="single"/>
        </w:rPr>
      </w:pPr>
    </w:p>
    <w:p>
      <w:pPr>
        <w:rPr>
          <w:rFonts w:ascii="Times New Roman Regular" w:hAnsi="Times New Roman Regular" w:cs="Times New Roman Regular"/>
          <w:b/>
          <w:bCs/>
          <w:sz w:val="22"/>
          <w:szCs w:val="22"/>
          <w:u w:val="single"/>
        </w:rPr>
      </w:pPr>
      <w:r>
        <w:rPr>
          <w:rFonts w:ascii="Times New Roman Regular" w:hAnsi="Times New Roman Regular" w:cs="Times New Roman Regular"/>
          <w:b/>
          <w:bCs/>
          <w:sz w:val="22"/>
          <w:szCs w:val="22"/>
          <w:u w:val="single"/>
        </w:rPr>
        <w:t>Lectures</w:t>
      </w:r>
    </w:p>
    <w:p>
      <w:pPr>
        <w:rPr>
          <w:rFonts w:ascii="Times New Roman Regular" w:hAnsi="Times New Roman Regular" w:cs="Times New Roman Regular"/>
          <w:sz w:val="22"/>
          <w:szCs w:val="22"/>
        </w:rPr>
      </w:pPr>
      <w:r>
        <w:rPr>
          <w:rFonts w:ascii="Times New Roman Regular" w:hAnsi="Times New Roman Regular" w:cs="Times New Roman Regular"/>
          <w:sz w:val="22"/>
          <w:szCs w:val="22"/>
        </w:rPr>
        <w:t>All lectures will be held in person, and you are expected to attend and participate each day. If you are unable to attend class due to illness or another reason, Professor Zehms has provided her previously recorded video lectures, which you have access to on the course webpage. They are organized by chapter and by learning objective within each chapter. You are not obligated to watch the videos, but you might find them helpful. The videos were made for the 11</w:t>
      </w:r>
      <w:r>
        <w:rPr>
          <w:rFonts w:ascii="Times New Roman Regular" w:hAnsi="Times New Roman Regular" w:cs="Times New Roman Regular"/>
          <w:sz w:val="22"/>
          <w:szCs w:val="22"/>
          <w:vertAlign w:val="superscript"/>
        </w:rPr>
        <w:t>th</w:t>
      </w:r>
      <w:r>
        <w:rPr>
          <w:rFonts w:ascii="Times New Roman Regular" w:hAnsi="Times New Roman Regular" w:cs="Times New Roman Regular"/>
          <w:sz w:val="22"/>
          <w:szCs w:val="22"/>
        </w:rPr>
        <w:t xml:space="preserve"> edition of the textbook, so may differ in minor respects. </w:t>
      </w:r>
    </w:p>
    <w:p>
      <w:pPr>
        <w:rPr>
          <w:rFonts w:ascii="Times New Roman Regular" w:hAnsi="Times New Roman Regular" w:cs="Times New Roman Regular"/>
          <w:sz w:val="22"/>
          <w:szCs w:val="22"/>
        </w:rPr>
      </w:pPr>
    </w:p>
    <w:p>
      <w:pPr>
        <w:rPr>
          <w:rFonts w:ascii="Times New Roman Regular" w:hAnsi="Times New Roman Regular" w:cs="Times New Roman Regular"/>
          <w:b/>
          <w:bCs/>
          <w:sz w:val="22"/>
          <w:szCs w:val="22"/>
          <w:u w:val="single"/>
        </w:rPr>
      </w:pPr>
      <w:r>
        <w:rPr>
          <w:rFonts w:ascii="Times New Roman Regular" w:hAnsi="Times New Roman Regular" w:cs="Times New Roman Regular"/>
          <w:b/>
          <w:bCs/>
          <w:sz w:val="22"/>
          <w:szCs w:val="22"/>
          <w:u w:val="single"/>
        </w:rPr>
        <w:t>In-Class Case Assignments</w:t>
      </w:r>
    </w:p>
    <w:p>
      <w:pPr>
        <w:rPr>
          <w:rFonts w:ascii="Times New Roman Regular" w:hAnsi="Times New Roman Regular" w:cs="Times New Roman Regular"/>
          <w:sz w:val="22"/>
          <w:szCs w:val="22"/>
        </w:rPr>
      </w:pPr>
      <w:r>
        <w:rPr>
          <w:rFonts w:ascii="Times New Roman Regular" w:hAnsi="Times New Roman Regular" w:cs="Times New Roman Regular"/>
          <w:sz w:val="22"/>
          <w:szCs w:val="22"/>
        </w:rPr>
        <w:t>Class will consist of both lecture and discussion, which will cover textbook readings as well as case assignments. Materials for each class period are listed in the schedule at the end of the syllabus. Students are expected to familiarize themselves with these materials prior to class and come prepared to contribute to group discussion. Most of the case assignments can be found in the textbook, and additional materials will be linked in the applicable module on Canvas, as necessary. Note that while these case assignments will NOT be submitted for grading, their contents are fair game for quizzes and exams.</w:t>
      </w:r>
    </w:p>
    <w:p>
      <w:pPr>
        <w:rPr>
          <w:rFonts w:ascii="Times New Roman Regular" w:hAnsi="Times New Roman Regular" w:cs="Times New Roman Regular"/>
          <w:b/>
          <w:bCs/>
          <w:sz w:val="22"/>
          <w:szCs w:val="22"/>
          <w:u w:val="single"/>
        </w:rPr>
      </w:pPr>
    </w:p>
    <w:p>
      <w:pPr>
        <w:rPr>
          <w:rFonts w:ascii="Times New Roman Regular" w:hAnsi="Times New Roman Regular" w:cs="Times New Roman Regular"/>
          <w:b/>
          <w:bCs/>
          <w:sz w:val="22"/>
          <w:szCs w:val="22"/>
          <w:u w:val="single"/>
        </w:rPr>
      </w:pPr>
      <w:r>
        <w:rPr>
          <w:rFonts w:ascii="Times New Roman Regular" w:hAnsi="Times New Roman Regular" w:cs="Times New Roman Regular"/>
          <w:b/>
          <w:bCs/>
          <w:sz w:val="22"/>
          <w:szCs w:val="22"/>
          <w:u w:val="single"/>
        </w:rPr>
        <w:t>Online Quizzes &amp; Exams</w:t>
      </w:r>
    </w:p>
    <w:p>
      <w:pPr>
        <w:numPr>
          <w:ilvl w:val="0"/>
          <w:numId w:val="5"/>
        </w:numPr>
        <w:rPr>
          <w:rFonts w:ascii="Times New Roman Regular" w:hAnsi="Times New Roman Regular" w:cs="Times New Roman Regular"/>
          <w:sz w:val="22"/>
          <w:szCs w:val="22"/>
        </w:rPr>
      </w:pPr>
      <w:r>
        <w:rPr>
          <w:rFonts w:ascii="Times New Roman Regular" w:hAnsi="Times New Roman Regular" w:cs="Times New Roman Regular"/>
          <w:sz w:val="22"/>
          <w:szCs w:val="22"/>
        </w:rPr>
        <w:t>Quizzes and exams will be online with a time limit using the Honorlock system. They will include TF and MC questions covering textbook reading and case materials discussed during class. They are closed book and you may not consult with others. Failure to use the Honorlock system will result in zero points.</w:t>
      </w:r>
    </w:p>
    <w:p>
      <w:pPr>
        <w:numPr>
          <w:ilvl w:val="0"/>
          <w:numId w:val="5"/>
        </w:numPr>
        <w:rPr>
          <w:rFonts w:ascii="Times New Roman Regular" w:hAnsi="Times New Roman Regular" w:cs="Times New Roman Regular"/>
          <w:sz w:val="22"/>
          <w:szCs w:val="22"/>
        </w:rPr>
      </w:pPr>
      <w:r>
        <w:rPr>
          <w:rFonts w:ascii="Times New Roman Regular" w:hAnsi="Times New Roman Regular" w:cs="Times New Roman Regular"/>
          <w:sz w:val="22"/>
          <w:szCs w:val="22"/>
        </w:rPr>
        <w:t>The exams will be NON-cumulative. Maximum time to complete each exam will be 90 minutes. Complete the 90-minute exam through Honorlock any time during the allotted time period from 5-10pm.</w:t>
      </w:r>
    </w:p>
    <w:p>
      <w:pPr>
        <w:numPr>
          <w:ilvl w:val="0"/>
          <w:numId w:val="5"/>
        </w:numPr>
        <w:rPr>
          <w:rFonts w:ascii="Times New Roman Regular" w:hAnsi="Times New Roman Regular" w:cs="Times New Roman Regular"/>
          <w:sz w:val="22"/>
          <w:szCs w:val="22"/>
        </w:rPr>
      </w:pPr>
      <w:r>
        <w:rPr>
          <w:rFonts w:ascii="Times New Roman Regular" w:hAnsi="Times New Roman Regular" w:cs="Times New Roman Regular"/>
          <w:sz w:val="22"/>
          <w:szCs w:val="22"/>
        </w:rPr>
        <w:t>Each quiz will cover one chapter of material, including the textbook, assigned cases, and additions to the case materials that I have added to Canvas. You will complete 13 quizzes throughout the semester and your three lowest scores will be eliminated. Maximum time to complete each quiz will be 20 minutes. Complete each quiz through Honorlock any time during the allotted time period from 5-10pm.</w:t>
      </w:r>
    </w:p>
    <w:p>
      <w:pPr>
        <w:rPr>
          <w:rFonts w:ascii="Times New Roman Regular" w:hAnsi="Times New Roman Regular" w:cs="Times New Roman Regular"/>
          <w:sz w:val="22"/>
          <w:szCs w:val="22"/>
        </w:rPr>
      </w:pPr>
    </w:p>
    <w:p>
      <w:pPr>
        <w:pStyle w:val="3"/>
        <w:jc w:val="left"/>
        <w:rPr>
          <w:rFonts w:ascii="Times New Roman Regular" w:hAnsi="Times New Roman Regular" w:cs="Times New Roman Regular"/>
          <w:sz w:val="22"/>
          <w:szCs w:val="22"/>
        </w:rPr>
      </w:pPr>
      <w:r>
        <w:rPr>
          <w:rFonts w:ascii="Times New Roman Regular" w:hAnsi="Times New Roman Regular" w:cs="Times New Roman Regular"/>
          <w:sz w:val="22"/>
          <w:szCs w:val="22"/>
        </w:rPr>
        <w:t>Understanding Remote Proctoring</w:t>
      </w:r>
    </w:p>
    <w:p>
      <w:pPr>
        <w:pStyle w:val="24"/>
        <w:rPr>
          <w:rFonts w:ascii="Times New Roman Regular" w:hAnsi="Times New Roman Regular" w:cs="Times New Roman Regular"/>
          <w:sz w:val="22"/>
          <w:szCs w:val="22"/>
        </w:rPr>
      </w:pPr>
      <w:r>
        <w:fldChar w:fldCharType="begin"/>
      </w:r>
      <w:r>
        <w:instrText xml:space="preserve"> HYPERLINK "https://honorlock.com" \t "_blank" \o "Honorlock" </w:instrText>
      </w:r>
      <w:r>
        <w:fldChar w:fldCharType="separate"/>
      </w:r>
      <w:r>
        <w:rPr>
          <w:rStyle w:val="23"/>
          <w:rFonts w:ascii="Times New Roman Regular" w:hAnsi="Times New Roman Regular" w:cs="Times New Roman Regular"/>
          <w:sz w:val="22"/>
          <w:szCs w:val="22"/>
        </w:rPr>
        <w:t>Honorlock</w:t>
      </w:r>
      <w:r>
        <w:rPr>
          <w:rStyle w:val="23"/>
          <w:rFonts w:ascii="Times New Roman Regular" w:hAnsi="Times New Roman Regular" w:cs="Times New Roman Regular"/>
          <w:sz w:val="22"/>
          <w:szCs w:val="22"/>
        </w:rPr>
        <w:fldChar w:fldCharType="end"/>
      </w:r>
      <w:r>
        <w:rPr>
          <w:rFonts w:ascii="Times New Roman Regular" w:hAnsi="Times New Roman Regular" w:cs="Times New Roman Regular"/>
          <w:sz w:val="22"/>
          <w:szCs w:val="22"/>
        </w:rPr>
        <w:t xml:space="preserve"> is an online, automated proctoring solution that helps instructors foster academic integrity when providing remote assessments to students. </w:t>
      </w:r>
    </w:p>
    <w:p>
      <w:pPr>
        <w:pStyle w:val="4"/>
        <w:rPr>
          <w:rFonts w:ascii="Times New Roman Regular" w:hAnsi="Times New Roman Regular" w:cs="Times New Roman Regular"/>
          <w:sz w:val="22"/>
          <w:szCs w:val="22"/>
        </w:rPr>
      </w:pPr>
      <w:r>
        <w:rPr>
          <w:rFonts w:ascii="Times New Roman Regular" w:hAnsi="Times New Roman Regular" w:cs="Times New Roman Regular"/>
          <w:sz w:val="22"/>
          <w:szCs w:val="22"/>
        </w:rPr>
        <w:t>Consenting to Remote Proctoring</w:t>
      </w:r>
    </w:p>
    <w:p>
      <w:pPr>
        <w:pStyle w:val="24"/>
        <w:rPr>
          <w:rFonts w:ascii="Times New Roman Regular" w:hAnsi="Times New Roman Regular" w:cs="Times New Roman Regular"/>
          <w:sz w:val="22"/>
          <w:szCs w:val="22"/>
        </w:rPr>
      </w:pPr>
      <w:r>
        <w:rPr>
          <w:rStyle w:val="26"/>
          <w:rFonts w:ascii="Times New Roman Regular" w:hAnsi="Times New Roman Regular" w:cs="Times New Roman Regular"/>
          <w:b w:val="0"/>
          <w:bCs w:val="0"/>
          <w:sz w:val="22"/>
          <w:szCs w:val="22"/>
          <w:u w:val="single"/>
        </w:rPr>
        <w:t>By enrolling in this course, you consent to Remote Proctoring, including installing the Honorlock Chrome extension, and sharing some personal data with Honorlock</w:t>
      </w:r>
      <w:r>
        <w:rPr>
          <w:rFonts w:ascii="Times New Roman Regular" w:hAnsi="Times New Roman Regular" w:cs="Times New Roman Regular"/>
          <w:bCs/>
          <w:sz w:val="22"/>
          <w:szCs w:val="22"/>
        </w:rPr>
        <w:t>.</w:t>
      </w:r>
      <w:r>
        <w:rPr>
          <w:rFonts w:ascii="Times New Roman Regular" w:hAnsi="Times New Roman Regular" w:cs="Times New Roman Regular"/>
          <w:sz w:val="22"/>
          <w:szCs w:val="22"/>
        </w:rPr>
        <w:t xml:space="preserve"> Be aware that while using Honorlock any other activity you engage in on your computer, including your employer, financial, or personal information, could be exposed to Honorlock, your instructor, or a live proctor if one is used. Your webcam will also transmit your testing environment, such as your home, those you live with, or your personal location, to these individuals and organizations. Honorlock proctoring can involve a "360-degree scan" of your testing area, to capture the area around your computer. You will also be asked to provide an ID to verify your identity.</w:t>
      </w:r>
    </w:p>
    <w:p>
      <w:pPr>
        <w:pStyle w:val="24"/>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The Honorlock Chrome extension retains these permissions as long as it is installed. At the conclusion of an assessment proctored by Honorlock, it is strongly recommended that </w:t>
      </w:r>
      <w:r>
        <w:fldChar w:fldCharType="begin"/>
      </w:r>
      <w:r>
        <w:instrText xml:space="preserve"> HYPERLINK "https://honorlock.kb.help/removing-the-honorlock-extension/" \t "_blank" \o "you remove the extension" </w:instrText>
      </w:r>
      <w:r>
        <w:fldChar w:fldCharType="separate"/>
      </w:r>
      <w:r>
        <w:rPr>
          <w:rStyle w:val="23"/>
          <w:rFonts w:ascii="Times New Roman Regular" w:hAnsi="Times New Roman Regular" w:cs="Times New Roman Regular"/>
          <w:sz w:val="22"/>
          <w:szCs w:val="22"/>
        </w:rPr>
        <w:t>you remove the extension</w:t>
      </w:r>
      <w:r>
        <w:rPr>
          <w:rStyle w:val="23"/>
          <w:rFonts w:ascii="Times New Roman Regular" w:hAnsi="Times New Roman Regular" w:cs="Times New Roman Regular"/>
          <w:sz w:val="22"/>
          <w:szCs w:val="22"/>
        </w:rPr>
        <w:fldChar w:fldCharType="end"/>
      </w:r>
      <w:r>
        <w:rPr>
          <w:rFonts w:ascii="Times New Roman Regular" w:hAnsi="Times New Roman Regular" w:cs="Times New Roman Regular"/>
          <w:sz w:val="22"/>
          <w:szCs w:val="22"/>
        </w:rPr>
        <w:t xml:space="preserve">. According to the </w:t>
      </w:r>
      <w:r>
        <w:fldChar w:fldCharType="begin"/>
      </w:r>
      <w:r>
        <w:instrText xml:space="preserve"> HYPERLINK "https://honorlock.com/studentprivacy/" \t "_blank" \o "Honorlock student privacy guide" </w:instrText>
      </w:r>
      <w:r>
        <w:fldChar w:fldCharType="separate"/>
      </w:r>
      <w:r>
        <w:rPr>
          <w:rStyle w:val="23"/>
          <w:rFonts w:ascii="Times New Roman Regular" w:hAnsi="Times New Roman Regular" w:cs="Times New Roman Regular"/>
          <w:sz w:val="22"/>
          <w:szCs w:val="22"/>
        </w:rPr>
        <w:t>Honorlock student privacy guide</w:t>
      </w:r>
      <w:r>
        <w:rPr>
          <w:rStyle w:val="23"/>
          <w:rFonts w:ascii="Times New Roman Regular" w:hAnsi="Times New Roman Regular" w:cs="Times New Roman Regular"/>
          <w:sz w:val="22"/>
          <w:szCs w:val="22"/>
        </w:rPr>
        <w:fldChar w:fldCharType="end"/>
      </w:r>
      <w:r>
        <w:rPr>
          <w:rFonts w:ascii="Times New Roman Regular" w:hAnsi="Times New Roman Regular" w:cs="Times New Roman Regular"/>
          <w:sz w:val="22"/>
          <w:szCs w:val="22"/>
        </w:rPr>
        <w:t>, student data is retained for a period of 12 months and is not shared or sold to any third parties other than the student's school.</w:t>
      </w:r>
    </w:p>
    <w:p>
      <w:pPr>
        <w:pStyle w:val="4"/>
        <w:rPr>
          <w:rFonts w:ascii="Times New Roman Regular" w:hAnsi="Times New Roman Regular" w:cs="Times New Roman Regular"/>
          <w:sz w:val="22"/>
          <w:szCs w:val="22"/>
        </w:rPr>
      </w:pPr>
      <w:r>
        <w:rPr>
          <w:rFonts w:ascii="Times New Roman Regular" w:hAnsi="Times New Roman Regular" w:cs="Times New Roman Regular"/>
          <w:sz w:val="22"/>
          <w:szCs w:val="22"/>
        </w:rPr>
        <w:t>Accessibility and Usability</w:t>
      </w:r>
    </w:p>
    <w:p>
      <w:pPr>
        <w:pStyle w:val="24"/>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Proctoring services may have accessibility and usability barriers for students. Students with disabilities who are experiencing difficulties navigating online proctoring can work with their instructor to get an exam accommodation. Students may apply for additional assistance or alternative accommodation </w:t>
      </w:r>
      <w:r>
        <w:fldChar w:fldCharType="begin"/>
      </w:r>
      <w:r>
        <w:instrText xml:space="preserve"> HYPERLINK "https://mcburney.wisc.edu/apply-for-accommodations/" </w:instrText>
      </w:r>
      <w:r>
        <w:fldChar w:fldCharType="separate"/>
      </w:r>
      <w:r>
        <w:rPr>
          <w:rStyle w:val="23"/>
          <w:rFonts w:ascii="Times New Roman Regular" w:hAnsi="Times New Roman Regular" w:cs="Times New Roman Regular"/>
          <w:sz w:val="22"/>
          <w:szCs w:val="22"/>
        </w:rPr>
        <w:t>through the McBurney Disability Resource Center</w:t>
      </w:r>
      <w:r>
        <w:rPr>
          <w:rStyle w:val="23"/>
          <w:rFonts w:ascii="Times New Roman Regular" w:hAnsi="Times New Roman Regular" w:cs="Times New Roman Regular"/>
          <w:sz w:val="22"/>
          <w:szCs w:val="22"/>
        </w:rPr>
        <w:fldChar w:fldCharType="end"/>
      </w:r>
      <w:r>
        <w:rPr>
          <w:rFonts w:ascii="Times New Roman Regular" w:hAnsi="Times New Roman Regular" w:cs="Times New Roman Regular"/>
          <w:sz w:val="22"/>
          <w:szCs w:val="22"/>
        </w:rPr>
        <w:t>.</w:t>
      </w:r>
    </w:p>
    <w:p>
      <w:pPr>
        <w:pStyle w:val="3"/>
        <w:jc w:val="left"/>
        <w:rPr>
          <w:rFonts w:ascii="Times New Roman Regular" w:hAnsi="Times New Roman Regular" w:cs="Times New Roman Regular"/>
          <w:sz w:val="22"/>
          <w:szCs w:val="22"/>
        </w:rPr>
      </w:pPr>
    </w:p>
    <w:p>
      <w:pPr>
        <w:pStyle w:val="3"/>
        <w:jc w:val="left"/>
        <w:rPr>
          <w:rFonts w:ascii="Times New Roman Regular" w:hAnsi="Times New Roman Regular" w:cs="Times New Roman Regular"/>
          <w:sz w:val="22"/>
          <w:szCs w:val="22"/>
          <w:u w:val="single"/>
        </w:rPr>
      </w:pPr>
      <w:r>
        <w:rPr>
          <w:rFonts w:ascii="Times New Roman Regular" w:hAnsi="Times New Roman Regular" w:cs="Times New Roman Regular"/>
          <w:sz w:val="22"/>
          <w:szCs w:val="22"/>
          <w:u w:val="single"/>
        </w:rPr>
        <w:t>Using Honorlock</w:t>
      </w:r>
    </w:p>
    <w:p>
      <w:pPr>
        <w:pStyle w:val="4"/>
        <w:spacing w:line="360" w:lineRule="auto"/>
        <w:rPr>
          <w:rStyle w:val="26"/>
          <w:rFonts w:ascii="Times New Roman Regular" w:hAnsi="Times New Roman Regular" w:cs="Times New Roman Regular"/>
          <w:b w:val="0"/>
          <w:sz w:val="22"/>
          <w:szCs w:val="22"/>
        </w:rPr>
      </w:pPr>
      <w:r>
        <w:rPr>
          <w:rFonts w:ascii="Times New Roman Regular" w:hAnsi="Times New Roman Regular" w:cs="Times New Roman Regular"/>
          <w:bCs/>
          <w:sz w:val="22"/>
          <w:szCs w:val="22"/>
        </w:rPr>
        <w:t>Get your WiscCard ID</w:t>
      </w:r>
    </w:p>
    <w:p>
      <w:pPr>
        <w:pStyle w:val="4"/>
        <w:rPr>
          <w:rFonts w:ascii="Times New Roman Regular" w:hAnsi="Times New Roman Regular" w:cs="Times New Roman Regular"/>
          <w:sz w:val="22"/>
          <w:szCs w:val="22"/>
        </w:rPr>
      </w:pPr>
      <w:r>
        <w:rPr>
          <w:rStyle w:val="26"/>
          <w:rFonts w:ascii="Times New Roman Regular" w:hAnsi="Times New Roman Regular" w:cs="Times New Roman Regular"/>
          <w:b w:val="0"/>
          <w:sz w:val="22"/>
          <w:szCs w:val="22"/>
        </w:rPr>
        <w:t>While Honorlock will accept your driver's license, passport, other government issued identification, you do not need share this personally identifiable information with Honorlock. Doing so is not necessary, and could expose this information needlessly to your instructor, Honorlock, or another proctor.  For the purposes of this course, it is recommended to only use your WiscCard to verify your identity.</w:t>
      </w:r>
    </w:p>
    <w:p>
      <w:pPr>
        <w:pStyle w:val="4"/>
        <w:rPr>
          <w:rFonts w:ascii="Times New Roman Regular" w:hAnsi="Times New Roman Regular" w:cs="Times New Roman Regular"/>
          <w:sz w:val="22"/>
          <w:szCs w:val="22"/>
        </w:rPr>
      </w:pPr>
    </w:p>
    <w:p>
      <w:pPr>
        <w:pStyle w:val="4"/>
        <w:rPr>
          <w:rFonts w:ascii="Times New Roman Regular" w:hAnsi="Times New Roman Regular" w:cs="Times New Roman Regular"/>
          <w:sz w:val="22"/>
          <w:szCs w:val="22"/>
        </w:rPr>
      </w:pPr>
      <w:r>
        <w:rPr>
          <w:rFonts w:ascii="Times New Roman Regular" w:hAnsi="Times New Roman Regular" w:cs="Times New Roman Regular"/>
          <w:sz w:val="22"/>
          <w:szCs w:val="22"/>
        </w:rPr>
        <w:t>Get Started &amp; Find Support</w:t>
      </w:r>
    </w:p>
    <w:p>
      <w:pPr>
        <w:pStyle w:val="24"/>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Using Honorlock requires the use of </w:t>
      </w:r>
      <w:r>
        <w:fldChar w:fldCharType="begin"/>
      </w:r>
      <w:r>
        <w:instrText xml:space="preserve"> HYPERLINK "https://www.google.com/chrome/" \t "_blank" \o "Google Chrome" </w:instrText>
      </w:r>
      <w:r>
        <w:fldChar w:fldCharType="separate"/>
      </w:r>
      <w:r>
        <w:rPr>
          <w:rStyle w:val="23"/>
          <w:rFonts w:ascii="Times New Roman Regular" w:hAnsi="Times New Roman Regular" w:cs="Times New Roman Regular"/>
          <w:sz w:val="22"/>
          <w:szCs w:val="22"/>
        </w:rPr>
        <w:t>Google Chrome</w:t>
      </w:r>
      <w:r>
        <w:rPr>
          <w:rStyle w:val="23"/>
          <w:rFonts w:ascii="Times New Roman Regular" w:hAnsi="Times New Roman Regular" w:cs="Times New Roman Regular"/>
          <w:sz w:val="22"/>
          <w:szCs w:val="22"/>
        </w:rPr>
        <w:fldChar w:fldCharType="end"/>
      </w:r>
      <w:r>
        <w:rPr>
          <w:rFonts w:ascii="Times New Roman Regular" w:hAnsi="Times New Roman Regular" w:cs="Times New Roman Regular"/>
          <w:sz w:val="22"/>
          <w:szCs w:val="22"/>
        </w:rPr>
        <w:t>. Please review the following documentation prior to using the tool.</w:t>
      </w:r>
    </w:p>
    <w:p>
      <w:pPr>
        <w:numPr>
          <w:ilvl w:val="0"/>
          <w:numId w:val="6"/>
        </w:numPr>
        <w:spacing w:before="100" w:beforeAutospacing="1" w:after="100" w:afterAutospacing="1" w:line="200" w:lineRule="exact"/>
        <w:rPr>
          <w:rFonts w:ascii="Times New Roman Regular" w:hAnsi="Times New Roman Regular" w:cs="Times New Roman Regular"/>
          <w:sz w:val="22"/>
          <w:szCs w:val="22"/>
        </w:rPr>
      </w:pPr>
      <w:r>
        <w:fldChar w:fldCharType="begin"/>
      </w:r>
      <w:r>
        <w:instrText xml:space="preserve"> HYPERLINK "https://honorlock.com/faculty-student-faq/" \t "_blank" \o "F A Q for students using Honor lock" </w:instrText>
      </w:r>
      <w:r>
        <w:fldChar w:fldCharType="separate"/>
      </w:r>
      <w:r>
        <w:rPr>
          <w:rStyle w:val="23"/>
          <w:rFonts w:ascii="Times New Roman Regular" w:hAnsi="Times New Roman Regular" w:cs="Times New Roman Regular"/>
          <w:sz w:val="22"/>
          <w:szCs w:val="22"/>
        </w:rPr>
        <w:t>Student FAQ</w:t>
      </w:r>
      <w:r>
        <w:rPr>
          <w:rStyle w:val="23"/>
          <w:rFonts w:ascii="Times New Roman Regular" w:hAnsi="Times New Roman Regular" w:cs="Times New Roman Regular"/>
          <w:sz w:val="22"/>
          <w:szCs w:val="22"/>
        </w:rPr>
        <w:fldChar w:fldCharType="end"/>
      </w:r>
      <w:r>
        <w:rPr>
          <w:rFonts w:ascii="Times New Roman Regular" w:hAnsi="Times New Roman Regular" w:cs="Times New Roman Regular"/>
          <w:sz w:val="22"/>
          <w:szCs w:val="22"/>
        </w:rPr>
        <w:t> </w:t>
      </w:r>
    </w:p>
    <w:p>
      <w:pPr>
        <w:numPr>
          <w:ilvl w:val="0"/>
          <w:numId w:val="6"/>
        </w:numPr>
        <w:spacing w:before="100" w:beforeAutospacing="1" w:after="100" w:afterAutospacing="1" w:line="200" w:lineRule="exact"/>
        <w:rPr>
          <w:rFonts w:ascii="Times New Roman Regular" w:hAnsi="Times New Roman Regular" w:cs="Times New Roman Regular"/>
          <w:sz w:val="22"/>
          <w:szCs w:val="22"/>
        </w:rPr>
      </w:pPr>
      <w:r>
        <w:fldChar w:fldCharType="begin"/>
      </w:r>
      <w:r>
        <w:instrText xml:space="preserve"> HYPERLINK "https://honorlock.kb.help/minimum-system-requirements/" \t "_blank" \o "Minimum system requirements to take an exam with honor lock" </w:instrText>
      </w:r>
      <w:r>
        <w:fldChar w:fldCharType="separate"/>
      </w:r>
      <w:r>
        <w:rPr>
          <w:rStyle w:val="23"/>
          <w:rFonts w:ascii="Times New Roman Regular" w:hAnsi="Times New Roman Regular" w:cs="Times New Roman Regular"/>
          <w:sz w:val="22"/>
          <w:szCs w:val="22"/>
        </w:rPr>
        <w:t>Minimum System Requirements </w:t>
      </w:r>
      <w:r>
        <w:rPr>
          <w:rStyle w:val="23"/>
          <w:rFonts w:ascii="Times New Roman Regular" w:hAnsi="Times New Roman Regular" w:cs="Times New Roman Regular"/>
          <w:sz w:val="22"/>
          <w:szCs w:val="22"/>
        </w:rPr>
        <w:fldChar w:fldCharType="end"/>
      </w:r>
    </w:p>
    <w:p>
      <w:pPr>
        <w:numPr>
          <w:ilvl w:val="0"/>
          <w:numId w:val="6"/>
        </w:numPr>
        <w:spacing w:before="100" w:beforeAutospacing="1" w:after="100" w:afterAutospacing="1" w:line="200" w:lineRule="exact"/>
        <w:rPr>
          <w:rFonts w:ascii="Times New Roman Regular" w:hAnsi="Times New Roman Regular" w:cs="Times New Roman Regular"/>
          <w:sz w:val="22"/>
          <w:szCs w:val="22"/>
        </w:rPr>
      </w:pPr>
      <w:r>
        <w:fldChar w:fldCharType="begin"/>
      </w:r>
      <w:r>
        <w:instrText xml:space="preserve"> HYPERLINK "https://honorlock.kb.help/minimum-system-requirements/" \t "_blank" \o "launching an exam with honor lock" </w:instrText>
      </w:r>
      <w:r>
        <w:fldChar w:fldCharType="separate"/>
      </w:r>
      <w:r>
        <w:rPr>
          <w:rStyle w:val="23"/>
          <w:rFonts w:ascii="Times New Roman Regular" w:hAnsi="Times New Roman Regular" w:cs="Times New Roman Regular"/>
          <w:sz w:val="22"/>
          <w:szCs w:val="22"/>
        </w:rPr>
        <w:t>Launching an Exam with Honorlock </w:t>
      </w:r>
      <w:r>
        <w:rPr>
          <w:rStyle w:val="23"/>
          <w:rFonts w:ascii="Times New Roman Regular" w:hAnsi="Times New Roman Regular" w:cs="Times New Roman Regular"/>
          <w:sz w:val="22"/>
          <w:szCs w:val="22"/>
        </w:rPr>
        <w:fldChar w:fldCharType="end"/>
      </w:r>
    </w:p>
    <w:p>
      <w:pPr>
        <w:numPr>
          <w:ilvl w:val="0"/>
          <w:numId w:val="6"/>
        </w:numPr>
        <w:spacing w:before="100" w:beforeAutospacing="1" w:after="100" w:afterAutospacing="1" w:line="200" w:lineRule="exact"/>
        <w:rPr>
          <w:rFonts w:ascii="Times New Roman Regular" w:hAnsi="Times New Roman Regular" w:cs="Times New Roman Regular"/>
          <w:sz w:val="22"/>
          <w:szCs w:val="22"/>
        </w:rPr>
      </w:pPr>
      <w:r>
        <w:fldChar w:fldCharType="begin"/>
      </w:r>
      <w:r>
        <w:instrText xml:space="preserve"> HYPERLINK "https://youtu.be/wRWE-9PUquo" \t "_blank" \o "How to use Honorlock (Video)" </w:instrText>
      </w:r>
      <w:r>
        <w:fldChar w:fldCharType="separate"/>
      </w:r>
      <w:r>
        <w:rPr>
          <w:rStyle w:val="23"/>
          <w:rFonts w:ascii="Times New Roman Regular" w:hAnsi="Times New Roman Regular" w:cs="Times New Roman Regular"/>
          <w:sz w:val="22"/>
          <w:szCs w:val="22"/>
        </w:rPr>
        <w:t>How to use Honorlock (Video)</w:t>
      </w:r>
      <w:r>
        <w:rPr>
          <w:rStyle w:val="23"/>
          <w:rFonts w:ascii="Times New Roman Regular" w:hAnsi="Times New Roman Regular" w:cs="Times New Roman Regular"/>
          <w:sz w:val="22"/>
          <w:szCs w:val="22"/>
        </w:rPr>
        <w:fldChar w:fldCharType="end"/>
      </w:r>
    </w:p>
    <w:p>
      <w:pPr>
        <w:numPr>
          <w:ilvl w:val="0"/>
          <w:numId w:val="6"/>
        </w:numPr>
        <w:spacing w:before="100" w:beforeAutospacing="1" w:after="100" w:afterAutospacing="1" w:line="200" w:lineRule="exact"/>
        <w:rPr>
          <w:rFonts w:ascii="Times New Roman Regular" w:hAnsi="Times New Roman Regular" w:cs="Times New Roman Regular"/>
          <w:sz w:val="22"/>
          <w:szCs w:val="22"/>
        </w:rPr>
      </w:pPr>
      <w:r>
        <w:fldChar w:fldCharType="begin"/>
      </w:r>
      <w:r>
        <w:instrText xml:space="preserve"> HYPERLINK "https://youtu.be/ISz-ZIVfxkc" \t "_blank" \o "How to complete a Room Scan (video)" </w:instrText>
      </w:r>
      <w:r>
        <w:fldChar w:fldCharType="separate"/>
      </w:r>
      <w:r>
        <w:rPr>
          <w:rStyle w:val="23"/>
          <w:rFonts w:ascii="Times New Roman Regular" w:hAnsi="Times New Roman Regular" w:cs="Times New Roman Regular"/>
          <w:sz w:val="22"/>
          <w:szCs w:val="22"/>
        </w:rPr>
        <w:t>How to complete a Room Scan (video)</w:t>
      </w:r>
      <w:r>
        <w:rPr>
          <w:rStyle w:val="23"/>
          <w:rFonts w:ascii="Times New Roman Regular" w:hAnsi="Times New Roman Regular" w:cs="Times New Roman Regular"/>
          <w:sz w:val="22"/>
          <w:szCs w:val="22"/>
        </w:rPr>
        <w:fldChar w:fldCharType="end"/>
      </w:r>
    </w:p>
    <w:p>
      <w:pPr>
        <w:numPr>
          <w:ilvl w:val="0"/>
          <w:numId w:val="6"/>
        </w:numPr>
        <w:spacing w:before="100" w:beforeAutospacing="1" w:after="100" w:afterAutospacing="1" w:line="200" w:lineRule="exact"/>
        <w:rPr>
          <w:rFonts w:ascii="Times New Roman Regular" w:hAnsi="Times New Roman Regular" w:cs="Times New Roman Regular"/>
          <w:sz w:val="22"/>
          <w:szCs w:val="22"/>
        </w:rPr>
      </w:pPr>
      <w:r>
        <w:fldChar w:fldCharType="begin"/>
      </w:r>
      <w:r>
        <w:instrText xml:space="preserve"> HYPERLINK "https://honorlock.kb.help/troubleshooting-the-honorlock-extension/" \t "_blank" \o "troubleshooting resources for using honor lock" </w:instrText>
      </w:r>
      <w:r>
        <w:fldChar w:fldCharType="separate"/>
      </w:r>
      <w:r>
        <w:rPr>
          <w:rStyle w:val="23"/>
          <w:rFonts w:ascii="Times New Roman Regular" w:hAnsi="Times New Roman Regular" w:cs="Times New Roman Regular"/>
          <w:sz w:val="22"/>
          <w:szCs w:val="22"/>
        </w:rPr>
        <w:t>Troubleshooting Resources </w:t>
      </w:r>
      <w:r>
        <w:rPr>
          <w:rStyle w:val="23"/>
          <w:rFonts w:ascii="Times New Roman Regular" w:hAnsi="Times New Roman Regular" w:cs="Times New Roman Regular"/>
          <w:sz w:val="22"/>
          <w:szCs w:val="22"/>
        </w:rPr>
        <w:fldChar w:fldCharType="end"/>
      </w:r>
    </w:p>
    <w:p>
      <w:pPr>
        <w:numPr>
          <w:ilvl w:val="0"/>
          <w:numId w:val="6"/>
        </w:numPr>
        <w:spacing w:before="100" w:beforeAutospacing="1" w:after="100" w:afterAutospacing="1" w:line="200" w:lineRule="exact"/>
        <w:rPr>
          <w:rFonts w:ascii="Times New Roman Regular" w:hAnsi="Times New Roman Regular" w:cs="Times New Roman Regular"/>
          <w:sz w:val="22"/>
          <w:szCs w:val="22"/>
        </w:rPr>
      </w:pPr>
      <w:r>
        <w:fldChar w:fldCharType="begin"/>
      </w:r>
      <w:r>
        <w:instrText xml:space="preserve"> HYPERLINK "https://honorlock.kb.help/end-of-exam-procedures/" \t "_blank" \o "End of exam procedures after completing an exam with honor lock" </w:instrText>
      </w:r>
      <w:r>
        <w:fldChar w:fldCharType="separate"/>
      </w:r>
      <w:r>
        <w:rPr>
          <w:rStyle w:val="23"/>
          <w:rFonts w:ascii="Times New Roman Regular" w:hAnsi="Times New Roman Regular" w:cs="Times New Roman Regular"/>
          <w:sz w:val="22"/>
          <w:szCs w:val="22"/>
        </w:rPr>
        <w:t>End of Exam Procedures</w:t>
      </w:r>
      <w:r>
        <w:rPr>
          <w:rStyle w:val="23"/>
          <w:rFonts w:ascii="Times New Roman Regular" w:hAnsi="Times New Roman Regular" w:cs="Times New Roman Regular"/>
          <w:sz w:val="22"/>
          <w:szCs w:val="22"/>
        </w:rPr>
        <w:fldChar w:fldCharType="end"/>
      </w:r>
    </w:p>
    <w:p>
      <w:pPr>
        <w:pStyle w:val="24"/>
        <w:rPr>
          <w:rFonts w:ascii="Times New Roman Regular" w:hAnsi="Times New Roman Regular" w:cs="Times New Roman Regular"/>
          <w:sz w:val="22"/>
          <w:szCs w:val="22"/>
        </w:rPr>
      </w:pPr>
      <w:r>
        <w:rPr>
          <w:rFonts w:ascii="Times New Roman Regular" w:hAnsi="Times New Roman Regular" w:cs="Times New Roman Regular"/>
          <w:sz w:val="22"/>
          <w:szCs w:val="22"/>
        </w:rPr>
        <w:t xml:space="preserve">If you have questions about the tool or are having technical difficulty while using Honorlock, please contact Honorlock using the chat feature directly in Canvas, call their support phone number (844) 243-2500, or email </w:t>
      </w:r>
      <w:r>
        <w:fldChar w:fldCharType="begin"/>
      </w:r>
      <w:r>
        <w:instrText xml:space="preserve"> HYPERLINK "mailto:support@honorlock.com" \o "support@honorlock.com" </w:instrText>
      </w:r>
      <w:r>
        <w:fldChar w:fldCharType="separate"/>
      </w:r>
      <w:r>
        <w:rPr>
          <w:rStyle w:val="23"/>
          <w:rFonts w:ascii="Times New Roman Regular" w:hAnsi="Times New Roman Regular" w:cs="Times New Roman Regular"/>
          <w:sz w:val="22"/>
          <w:szCs w:val="22"/>
        </w:rPr>
        <w:t>support@honorlock.com</w:t>
      </w:r>
      <w:r>
        <w:rPr>
          <w:rStyle w:val="23"/>
          <w:rFonts w:ascii="Times New Roman Regular" w:hAnsi="Times New Roman Regular" w:cs="Times New Roman Regular"/>
          <w:sz w:val="22"/>
          <w:szCs w:val="22"/>
        </w:rPr>
        <w:fldChar w:fldCharType="end"/>
      </w:r>
      <w:r>
        <w:rPr>
          <w:rFonts w:ascii="Times New Roman Regular" w:hAnsi="Times New Roman Regular" w:cs="Times New Roman Regular"/>
          <w:sz w:val="22"/>
          <w:szCs w:val="22"/>
        </w:rPr>
        <w:t>.</w:t>
      </w:r>
    </w:p>
    <w:p>
      <w:pPr>
        <w:pStyle w:val="24"/>
        <w:rPr>
          <w:rFonts w:ascii="Times New Roman Regular" w:hAnsi="Times New Roman Regular" w:cs="Times New Roman Regular"/>
          <w:sz w:val="22"/>
          <w:szCs w:val="22"/>
        </w:rPr>
      </w:pPr>
      <w:r>
        <w:rPr>
          <w:rFonts w:ascii="Times New Roman Regular" w:hAnsi="Times New Roman Regular" w:cs="Times New Roman Regular"/>
          <w:b/>
          <w:bCs/>
          <w:sz w:val="22"/>
          <w:szCs w:val="22"/>
        </w:rPr>
        <w:t xml:space="preserve">Take the Practice Quiz on September 12 (any time from 5-10pm) </w:t>
      </w:r>
      <w:r>
        <w:fldChar w:fldCharType="begin"/>
      </w:r>
      <w:r>
        <w:instrText xml:space="preserve"> HYPERLINK "https://canvas.wisc.edu/courses/347685/quizzes/419489" </w:instrText>
      </w:r>
      <w:r>
        <w:fldChar w:fldCharType="separate"/>
      </w:r>
      <w:r>
        <w:rPr>
          <w:rStyle w:val="23"/>
          <w:rFonts w:ascii="Times New Roman Regular" w:hAnsi="Times New Roman Regular" w:cs="Times New Roman Regular"/>
          <w:b/>
          <w:bCs/>
          <w:sz w:val="22"/>
          <w:szCs w:val="22"/>
        </w:rPr>
        <w:t>here</w:t>
      </w:r>
      <w:r>
        <w:rPr>
          <w:rStyle w:val="23"/>
          <w:rFonts w:ascii="Times New Roman Regular" w:hAnsi="Times New Roman Regular" w:cs="Times New Roman Regular"/>
          <w:b/>
          <w:bCs/>
          <w:sz w:val="22"/>
          <w:szCs w:val="22"/>
        </w:rPr>
        <w:fldChar w:fldCharType="end"/>
      </w:r>
      <w:r>
        <w:rPr>
          <w:rFonts w:ascii="Times New Roman Regular" w:hAnsi="Times New Roman Regular" w:cs="Times New Roman Regular"/>
          <w:b/>
          <w:bCs/>
          <w:sz w:val="22"/>
          <w:szCs w:val="22"/>
        </w:rPr>
        <w:t>.</w:t>
      </w:r>
    </w:p>
    <w:p>
      <w:pPr>
        <w:pStyle w:val="24"/>
        <w:rPr>
          <w:rFonts w:ascii="Times New Roman Regular" w:hAnsi="Times New Roman Regular" w:cs="Times New Roman Regular"/>
          <w:sz w:val="22"/>
          <w:szCs w:val="22"/>
        </w:rPr>
      </w:pPr>
      <w:r>
        <w:rPr>
          <w:rFonts w:ascii="Times New Roman Regular" w:hAnsi="Times New Roman Regular" w:cs="Times New Roman Regular"/>
          <w:sz w:val="22"/>
          <w:szCs w:val="22"/>
        </w:rPr>
        <w:t>Prior to the first quiz for which you will receive course credit, take the practice quiz to ensure you are familiar with the proctoring interfaces, and feel confident in the testing environment. Remember that you will have to reinstall the Honorlock extension every time you start an Honorlock proctored exam. The Honorlock extension should uninstall itself once you complete the exam. It is strongly recommended that you verify that the extension is no longer installed.</w:t>
      </w:r>
    </w:p>
    <w:p>
      <w:pPr>
        <w:jc w:val="center"/>
        <w:rPr>
          <w:rFonts w:ascii="Times New Roman Regular" w:hAnsi="Times New Roman Regular" w:cs="Times New Roman Regular"/>
          <w:b/>
          <w:sz w:val="22"/>
          <w:szCs w:val="22"/>
          <w:u w:val="single"/>
        </w:rPr>
      </w:pPr>
      <w:r>
        <w:rPr>
          <w:rFonts w:ascii="Times New Roman Regular" w:hAnsi="Times New Roman Regular" w:cs="Times New Roman Regular"/>
          <w:b/>
          <w:sz w:val="22"/>
          <w:szCs w:val="22"/>
          <w:u w:val="single"/>
        </w:rPr>
        <w:br w:type="page"/>
      </w:r>
      <w:r>
        <w:rPr>
          <w:rFonts w:ascii="Times New Roman Regular" w:hAnsi="Times New Roman Regular" w:cs="Times New Roman Regular"/>
          <w:b/>
          <w:sz w:val="22"/>
          <w:szCs w:val="22"/>
          <w:u w:val="single"/>
        </w:rPr>
        <w:t>SCHEDULE</w:t>
      </w:r>
    </w:p>
    <w:tbl>
      <w:tblPr>
        <w:tblStyle w:val="12"/>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1620"/>
        <w:gridCol w:w="7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ascii="Times New Roman Regular" w:hAnsi="Times New Roman Regular" w:cs="Times New Roman Regular"/>
                <w:b/>
                <w:sz w:val="22"/>
                <w:szCs w:val="22"/>
              </w:rPr>
            </w:pPr>
            <w:r>
              <w:rPr>
                <w:rFonts w:ascii="Times New Roman Regular" w:hAnsi="Times New Roman Regular" w:cs="Times New Roman Regular"/>
                <w:b/>
                <w:sz w:val="22"/>
                <w:szCs w:val="22"/>
              </w:rPr>
              <w:t>Date</w:t>
            </w:r>
          </w:p>
        </w:tc>
        <w:tc>
          <w:tcPr>
            <w:tcW w:w="1620" w:type="dxa"/>
          </w:tcPr>
          <w:p>
            <w:pPr>
              <w:jc w:val="center"/>
              <w:rPr>
                <w:rFonts w:ascii="Times New Roman Regular" w:hAnsi="Times New Roman Regular" w:cs="Times New Roman Regular"/>
                <w:b/>
                <w:sz w:val="22"/>
                <w:szCs w:val="22"/>
              </w:rPr>
            </w:pPr>
            <w:r>
              <w:rPr>
                <w:rFonts w:ascii="Times New Roman Regular" w:hAnsi="Times New Roman Regular" w:cs="Times New Roman Regular"/>
                <w:b/>
                <w:sz w:val="22"/>
                <w:szCs w:val="22"/>
              </w:rPr>
              <w:t>Chapter</w:t>
            </w:r>
          </w:p>
        </w:tc>
        <w:tc>
          <w:tcPr>
            <w:tcW w:w="7525" w:type="dxa"/>
          </w:tcPr>
          <w:p>
            <w:pPr>
              <w:jc w:val="center"/>
              <w:rPr>
                <w:rFonts w:ascii="Times New Roman Regular" w:hAnsi="Times New Roman Regular" w:cs="Times New Roman Regular"/>
                <w:b/>
                <w:sz w:val="22"/>
                <w:szCs w:val="22"/>
              </w:rPr>
            </w:pPr>
            <w:r>
              <w:rPr>
                <w:rFonts w:ascii="Times New Roman Regular" w:hAnsi="Times New Roman Regular" w:cs="Times New Roman Regular"/>
                <w:b/>
                <w:sz w:val="22"/>
                <w:szCs w:val="22"/>
              </w:rPr>
              <w:t>Textbook Chapter Readings and Case Assignments</w:t>
            </w:r>
          </w:p>
          <w:p>
            <w:pPr>
              <w:jc w:val="center"/>
              <w:rPr>
                <w:rFonts w:ascii="Times New Roman Regular" w:hAnsi="Times New Roman Regular" w:cs="Times New Roman Regular"/>
                <w:b/>
                <w:sz w:val="22"/>
                <w:szCs w:val="22"/>
              </w:rPr>
            </w:pPr>
          </w:p>
        </w:tc>
      </w:tr>
      <w:tr>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1/24</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1:</w:t>
            </w:r>
            <w:r>
              <w:rPr>
                <w:rFonts w:ascii="Times New Roman Regular" w:hAnsi="Times New Roman Regular" w:cs="Times New Roman Regular"/>
                <w:sz w:val="22"/>
                <w:szCs w:val="22"/>
              </w:rPr>
              <w:t xml:space="preserve"> </w:t>
            </w:r>
            <w:r>
              <w:rPr>
                <w:rFonts w:ascii="Times New Roman Regular" w:hAnsi="Times New Roman Regular" w:cs="Times New Roman Regular"/>
                <w:i/>
                <w:sz w:val="22"/>
                <w:szCs w:val="22"/>
              </w:rPr>
              <w:t>Quality Auditing: Why It Matters</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1/29</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1-7 (Susan Birkert), 1-8 (Theranos), 1-30 (AICPA Code of Conduct)</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1/30</w:t>
            </w:r>
          </w:p>
        </w:tc>
        <w:tc>
          <w:tcPr>
            <w:tcW w:w="1620" w:type="dxa"/>
          </w:tcPr>
          <w:p>
            <w:pPr>
              <w:jc w:val="center"/>
              <w:rPr>
                <w:rFonts w:ascii="Times New Roman Regular" w:hAnsi="Times New Roman Regular" w:cs="Times New Roman Regular"/>
                <w:b/>
                <w:sz w:val="22"/>
                <w:szCs w:val="22"/>
              </w:rPr>
            </w:pPr>
            <w:r>
              <w:rPr>
                <w:rFonts w:ascii="Times New Roman Regular" w:hAnsi="Times New Roman Regular" w:cs="Times New Roman Regular"/>
                <w:b/>
                <w:sz w:val="22"/>
                <w:szCs w:val="22"/>
              </w:rPr>
              <w:t>Practice Quiz</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p>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This is only a practice - it will not count towards your grade.</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1/31</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1-43 (Theranos), 1-44 (Longtop), 1-45 Thomas Flanagan &amp; Deloitte</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2/1</w:t>
            </w:r>
          </w:p>
        </w:tc>
        <w:tc>
          <w:tcPr>
            <w:tcW w:w="1620" w:type="dxa"/>
          </w:tcPr>
          <w:p>
            <w:pPr>
              <w:jc w:val="cente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Quiz 1</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2/5</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2</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2: The Auditor’s Responsibilities Regarding Fraud</w:t>
            </w:r>
          </w:p>
          <w:p>
            <w:pPr>
              <w:rPr>
                <w:rFonts w:ascii="Times New Roman Regular" w:hAnsi="Times New Roman Regular" w:cs="Times New Roman Regular"/>
                <w:iCs/>
                <w:sz w:val="22"/>
                <w:szCs w:val="22"/>
              </w:rPr>
            </w:pPr>
          </w:p>
          <w:p>
            <w:pPr>
              <w:rPr>
                <w:rFonts w:ascii="Times New Roman Regular" w:hAnsi="Times New Roman Regular" w:cs="Times New Roman Regular"/>
                <w:iCs/>
                <w:sz w:val="22"/>
                <w:szCs w:val="22"/>
              </w:rPr>
            </w:pPr>
            <w:r>
              <w:rPr>
                <w:rFonts w:ascii="Times New Roman Regular" w:hAnsi="Times New Roman Regular" w:cs="Times New Roman Regular"/>
                <w:iCs/>
                <w:sz w:val="22"/>
                <w:szCs w:val="22"/>
              </w:rPr>
              <w:t>2-16 (Exhibit 2.16), 2-18 (Exhibit 2.8)</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2/7</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2</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2-27 (Theranos), 2-28 &amp; 2-29 (Koss)</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2/8</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2</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2/12</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3</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3: Internal Control Over Financial Reporting</w:t>
            </w:r>
          </w:p>
          <w:p>
            <w:pPr>
              <w:rPr>
                <w:rFonts w:ascii="Times New Roman Regular" w:hAnsi="Times New Roman Regular" w:cs="Times New Roman Regular"/>
                <w:iCs/>
                <w:sz w:val="22"/>
                <w:szCs w:val="22"/>
              </w:rPr>
            </w:pPr>
            <w:r>
              <w:rPr>
                <w:rFonts w:ascii="Times New Roman Regular" w:hAnsi="Times New Roman Regular" w:cs="Times New Roman Regular"/>
                <w:iCs/>
                <w:sz w:val="22"/>
                <w:szCs w:val="22"/>
              </w:rPr>
              <w:t>3-38 (Rockwell Automation)</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2/14</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3</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3-39 (KT Corporation/Foreign Corrupt Practices Act), 3-41 (KPMG)</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2/15</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3</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b/>
                <w:bCs/>
                <w:sz w:val="22"/>
                <w:szCs w:val="22"/>
              </w:rPr>
              <w:t>ONLINE USING HONORLOCK, 5-10 PM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2/19</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4</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4: Professional Legal Liability</w:t>
            </w:r>
          </w:p>
          <w:p>
            <w:pPr>
              <w:rPr>
                <w:rFonts w:ascii="Times New Roman Regular" w:hAnsi="Times New Roman Regular" w:cs="Times New Roman Regular"/>
                <w:sz w:val="22"/>
                <w:szCs w:val="22"/>
              </w:rPr>
            </w:pPr>
            <w:r>
              <w:rPr>
                <w:rFonts w:ascii="Times New Roman Regular" w:hAnsi="Times New Roman Regular" w:cs="Times New Roman Regular"/>
                <w:sz w:val="22"/>
                <w:szCs w:val="22"/>
              </w:rPr>
              <w:t>4-3 (deep pocket &amp; expectations gap), 4-23 &amp; 4-24 (Holding Foreign Companies Accountable Act), 4-28 (KPMG)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2/20</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4</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2/21</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5</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i/>
                <w:sz w:val="22"/>
                <w:szCs w:val="22"/>
              </w:rPr>
              <w:t xml:space="preserve">Chapter 5: Professional Auditing Standards </w:t>
            </w:r>
          </w:p>
          <w:p>
            <w:pPr>
              <w:rPr>
                <w:rFonts w:ascii="Times New Roman Regular" w:hAnsi="Times New Roman Regular" w:cs="Times New Roman Regular"/>
                <w:sz w:val="22"/>
                <w:szCs w:val="22"/>
              </w:rPr>
            </w:pPr>
            <w:r>
              <w:rPr>
                <w:rFonts w:ascii="Times New Roman Regular" w:hAnsi="Times New Roman Regular" w:cs="Times New Roman Regular"/>
                <w:sz w:val="22"/>
                <w:szCs w:val="22"/>
              </w:rPr>
              <w:t>5-38 (PCAOB enforcement action against JLKZ CPA)</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2/26</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5</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5-41 (PCAOB enforcement action against PKF O’Connon Davis LLP)</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2/27</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5</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2/28</w:t>
            </w:r>
          </w:p>
        </w:tc>
        <w:tc>
          <w:tcPr>
            <w:tcW w:w="1620" w:type="dxa"/>
          </w:tcPr>
          <w:p>
            <w:pPr>
              <w:jc w:val="center"/>
              <w:rPr>
                <w:rFonts w:ascii="Times New Roman Regular" w:hAnsi="Times New Roman Regular" w:cs="Times New Roman Regular"/>
                <w:b/>
                <w:sz w:val="22"/>
                <w:szCs w:val="22"/>
              </w:rPr>
            </w:pPr>
            <w:r>
              <w:rPr>
                <w:rFonts w:ascii="Times New Roman Regular" w:hAnsi="Times New Roman Regular" w:cs="Times New Roman Regular"/>
                <w:b/>
                <w:sz w:val="22"/>
                <w:szCs w:val="22"/>
              </w:rPr>
              <w:t>Exam 1</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*No class on exam day!</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3/4</w:t>
            </w:r>
          </w:p>
        </w:tc>
        <w:tc>
          <w:tcPr>
            <w:tcW w:w="1620" w:type="dxa"/>
          </w:tcPr>
          <w:p>
            <w:pPr>
              <w:jc w:val="center"/>
              <w:rPr>
                <w:rFonts w:ascii="Times New Roman Regular" w:hAnsi="Times New Roman Regular" w:cs="Times New Roman Regular"/>
                <w:b/>
                <w:sz w:val="22"/>
                <w:szCs w:val="22"/>
              </w:rPr>
            </w:pPr>
            <w:r>
              <w:rPr>
                <w:rFonts w:ascii="Times New Roman Regular" w:hAnsi="Times New Roman Regular" w:cs="Times New Roman Regular"/>
                <w:sz w:val="22"/>
                <w:szCs w:val="22"/>
              </w:rPr>
              <w:t>6</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6: Audit Evidence</w:t>
            </w:r>
          </w:p>
          <w:p>
            <w:pPr>
              <w:rPr>
                <w:rFonts w:ascii="Times New Roman Regular" w:hAnsi="Times New Roman Regular" w:cs="Times New Roman Regular"/>
                <w:iCs/>
                <w:sz w:val="22"/>
                <w:szCs w:val="22"/>
              </w:rPr>
            </w:pPr>
            <w:r>
              <w:rPr>
                <w:rFonts w:ascii="Times New Roman Regular" w:hAnsi="Times New Roman Regular" w:cs="Times New Roman Regular"/>
                <w:iCs/>
                <w:sz w:val="22"/>
                <w:szCs w:val="22"/>
              </w:rPr>
              <w:t xml:space="preserve">6-21 (Ethics and evidence collection) </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3/6</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6</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6-22 (PCAOB), 6-23 (Longtop Financial) 6-31 (Data Analytics)</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3/7</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6</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3/11</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7</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7: Planning the Audit</w:t>
            </w:r>
          </w:p>
          <w:p>
            <w:pPr>
              <w:rPr>
                <w:rFonts w:ascii="Times New Roman Regular" w:hAnsi="Times New Roman Regular" w:cs="Times New Roman Regular"/>
                <w:iCs/>
                <w:sz w:val="22"/>
                <w:szCs w:val="22"/>
              </w:rPr>
            </w:pPr>
            <w:r>
              <w:rPr>
                <w:rFonts w:ascii="Times New Roman Regular" w:hAnsi="Times New Roman Regular" w:cs="Times New Roman Regular"/>
                <w:iCs/>
                <w:sz w:val="22"/>
                <w:szCs w:val="22"/>
              </w:rPr>
              <w:t>7-23 (Practicing using the audit risk model)</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3/13</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7</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7-28 &amp; 7-31 (Under Armour)</w:t>
            </w:r>
          </w:p>
          <w:p>
            <w:pPr>
              <w:rPr>
                <w:rFonts w:ascii="Times New Roman Regular" w:hAnsi="Times New Roman Regular" w:cs="Times New Roman Regular"/>
                <w:i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3/14</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7</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9" w:hRule="atLeast"/>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3/18</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8</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 xml:space="preserve">Chapter 8: Attributes Sampling </w:t>
            </w:r>
          </w:p>
          <w:p>
            <w:pPr>
              <w:rPr>
                <w:rFonts w:hint="default" w:ascii="Times New Roman Regular" w:hAnsi="Times New Roman Regular" w:cs="Times New Roman Regular"/>
                <w:sz w:val="22"/>
                <w:szCs w:val="22"/>
                <w:lang w:val="en-US"/>
              </w:rPr>
            </w:pPr>
            <w:r>
              <w:rPr>
                <w:rFonts w:ascii="Times New Roman Regular" w:hAnsi="Times New Roman Regular" w:cs="Times New Roman Regular"/>
                <w:b/>
                <w:bCs/>
                <w:sz w:val="22"/>
                <w:szCs w:val="22"/>
              </w:rPr>
              <w:t>We will NOT cover learning objectives #6</w:t>
            </w:r>
            <w:r>
              <w:rPr>
                <w:rFonts w:hint="default" w:ascii="Times New Roman Regular" w:hAnsi="Times New Roman Regular" w:cs="Times New Roman Regular"/>
                <w:b/>
                <w:bCs/>
                <w:sz w:val="22"/>
                <w:szCs w:val="22"/>
                <w:lang w:val="en-US"/>
              </w:rPr>
              <w:t xml:space="preserve"> and beyond</w:t>
            </w:r>
            <w:r>
              <w:rPr>
                <w:rFonts w:ascii="Times New Roman Regular" w:hAnsi="Times New Roman Regular" w:cs="Times New Roman Regular"/>
                <w:b/>
                <w:bCs/>
                <w:sz w:val="22"/>
                <w:szCs w:val="22"/>
              </w:rPr>
              <w:t xml:space="preserve">, so you do not need to read </w:t>
            </w:r>
            <w:r>
              <w:rPr>
                <w:rFonts w:hint="default" w:ascii="Times New Roman Regular" w:hAnsi="Times New Roman Regular" w:cs="Times New Roman Regular"/>
                <w:b/>
                <w:bCs/>
                <w:sz w:val="22"/>
                <w:szCs w:val="22"/>
                <w:lang w:val="en-US"/>
              </w:rPr>
              <w:t>those pages.</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3/20</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8</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8-11, 8-12, 8-15, 16, 17.</w:t>
            </w:r>
          </w:p>
          <w:p>
            <w:pPr>
              <w:rPr>
                <w:rFonts w:ascii="Times New Roman Regular" w:hAnsi="Times New Roman Regular" w:cs="Times New Roman Regular"/>
                <w:i/>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3/21</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8</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i/>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490" w:type="dxa"/>
            <w:gridSpan w:val="3"/>
          </w:tcPr>
          <w:p>
            <w:pPr>
              <w:rPr>
                <w:rFonts w:hint="default" w:ascii="Times New Roman Regular" w:hAnsi="Times New Roman Regular" w:cs="Times New Roman Regular"/>
                <w:i/>
                <w:sz w:val="22"/>
                <w:szCs w:val="22"/>
                <w:lang w:val="en-US"/>
              </w:rPr>
            </w:pPr>
            <w:r>
              <w:rPr>
                <w:rFonts w:hint="default" w:ascii="Times New Roman Regular" w:hAnsi="Times New Roman Regular" w:cs="Times New Roman Regular"/>
                <w:i/>
                <w:sz w:val="22"/>
                <w:szCs w:val="22"/>
                <w:lang w:val="en-US"/>
              </w:rPr>
              <w:t>3/25 and 3/27 SPRING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4/1</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9</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9: Auditing the Revenue Cycle (Revenue &amp; A/R)</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4/3</w:t>
            </w:r>
          </w:p>
        </w:tc>
        <w:tc>
          <w:tcPr>
            <w:tcW w:w="1620" w:type="dxa"/>
          </w:tcPr>
          <w:p>
            <w:pPr>
              <w:pStyle w:val="9"/>
              <w:jc w:val="center"/>
              <w:rPr>
                <w:rFonts w:ascii="Times New Roman Regular" w:hAnsi="Times New Roman Regular" w:cs="Times New Roman Regular"/>
                <w:szCs w:val="22"/>
              </w:rPr>
            </w:pPr>
            <w:r>
              <w:rPr>
                <w:rFonts w:ascii="Times New Roman Regular" w:hAnsi="Times New Roman Regular" w:cs="Times New Roman Regular"/>
                <w:b w:val="0"/>
                <w:szCs w:val="22"/>
              </w:rPr>
              <w:t>9</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9-37 (Synchronoss)</w:t>
            </w:r>
          </w:p>
          <w:p>
            <w:pPr>
              <w:rPr>
                <w:rFonts w:ascii="Times New Roman Regular" w:hAnsi="Times New Roman Regular" w:cs="Times New Roman Regular"/>
                <w:i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4/8</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9</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9-39 (Monsanto), 9-41 (Tesla)</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4/9</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9</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4/10</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10</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 xml:space="preserve">Chapter 10: Auditing Cash etc. </w:t>
            </w:r>
          </w:p>
          <w:p>
            <w:pPr>
              <w:rPr>
                <w:rFonts w:ascii="Times New Roman Regular" w:hAnsi="Times New Roman Regular" w:cs="Times New Roman Regular"/>
                <w:sz w:val="22"/>
                <w:szCs w:val="22"/>
              </w:rPr>
            </w:pPr>
            <w:r>
              <w:rPr>
                <w:rFonts w:ascii="Times New Roman Regular" w:hAnsi="Times New Roman Regular" w:cs="Times New Roman Regular"/>
                <w:sz w:val="22"/>
                <w:szCs w:val="22"/>
              </w:rPr>
              <w:t>10-3 (assertions practice), 10-4 (Why It Matters-The Wahi brothers)</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4/15</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10</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10-35 (FTX fraud), 10-37 (Peregrine Financial)</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4/16</w:t>
            </w:r>
          </w:p>
        </w:tc>
        <w:tc>
          <w:tcPr>
            <w:tcW w:w="1620" w:type="dxa"/>
          </w:tcPr>
          <w:p>
            <w:pPr>
              <w:jc w:val="center"/>
              <w:rPr>
                <w:rFonts w:ascii="Times New Roman Regular" w:hAnsi="Times New Roman Regular" w:cs="Times New Roman Regular"/>
                <w:b/>
                <w:bCs/>
                <w:sz w:val="22"/>
                <w:szCs w:val="22"/>
              </w:rPr>
            </w:pPr>
          </w:p>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10</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In-class question &amp; answer period to review for Exam 2.</w:t>
            </w:r>
          </w:p>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4/17</w:t>
            </w:r>
          </w:p>
        </w:tc>
        <w:tc>
          <w:tcPr>
            <w:tcW w:w="1620" w:type="dxa"/>
          </w:tcPr>
          <w:p>
            <w:pPr>
              <w:jc w:val="center"/>
              <w:rPr>
                <w:rFonts w:ascii="Times New Roman Regular" w:hAnsi="Times New Roman Regular" w:cs="Times New Roman Regular"/>
                <w:b/>
                <w:sz w:val="22"/>
                <w:szCs w:val="22"/>
              </w:rPr>
            </w:pPr>
            <w:r>
              <w:rPr>
                <w:rFonts w:ascii="Times New Roman Regular" w:hAnsi="Times New Roman Regular" w:cs="Times New Roman Regular"/>
                <w:b/>
                <w:sz w:val="22"/>
                <w:szCs w:val="22"/>
              </w:rPr>
              <w:t>Exam 2</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*No class on exam day!</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4/22</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11</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11: Auditing the Acquisition and Payment Cycle (Inventory &amp; A/P)</w:t>
            </w:r>
          </w:p>
          <w:p>
            <w:pPr>
              <w:rPr>
                <w:rFonts w:ascii="Times New Roman Regular" w:hAnsi="Times New Roman Regular" w:cs="Times New Roman Regular"/>
                <w:sz w:val="22"/>
                <w:szCs w:val="22"/>
              </w:rPr>
            </w:pPr>
            <w:r>
              <w:rPr>
                <w:rFonts w:ascii="Times New Roman Regular" w:hAnsi="Times New Roman Regular" w:cs="Times New Roman Regular"/>
                <w:sz w:val="22"/>
                <w:szCs w:val="22"/>
              </w:rPr>
              <w:t>11-18 (assertions practice)</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4/24</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11, 14</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11-24 (assertions practice), 11-43 (Alliance One)</w:t>
            </w:r>
          </w:p>
          <w:p>
            <w:pPr>
              <w:rPr>
                <w:rFonts w:ascii="Times New Roman Regular" w:hAnsi="Times New Roman Regular" w:cs="Times New Roman Regular"/>
                <w:sz w:val="22"/>
                <w:szCs w:val="22"/>
              </w:rPr>
            </w:pPr>
            <w:r>
              <w:rPr>
                <w:rFonts w:ascii="Times New Roman Regular" w:hAnsi="Times New Roman Regular" w:cs="Times New Roman Regular"/>
                <w:sz w:val="22"/>
                <w:szCs w:val="22"/>
              </w:rPr>
              <w:t>Start lecture on Chapter 14.</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4/25</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11</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4/29</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14</w:t>
            </w:r>
          </w:p>
        </w:tc>
        <w:tc>
          <w:tcPr>
            <w:tcW w:w="7525" w:type="dxa"/>
          </w:tcPr>
          <w:p>
            <w:pPr>
              <w:rPr>
                <w:rFonts w:ascii="Times New Roman Regular" w:hAnsi="Times New Roman Regular" w:cs="Times New Roman Regular"/>
                <w:iCs/>
                <w:sz w:val="22"/>
                <w:szCs w:val="22"/>
              </w:rPr>
            </w:pPr>
            <w:r>
              <w:rPr>
                <w:rFonts w:ascii="Times New Roman Regular" w:hAnsi="Times New Roman Regular" w:cs="Times New Roman Regular"/>
                <w:iCs/>
                <w:sz w:val="22"/>
                <w:szCs w:val="22"/>
              </w:rPr>
              <w:t>14-40 (Revlon &amp; going-concern)</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4/30</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b/>
                <w:bCs/>
                <w:sz w:val="22"/>
                <w:szCs w:val="22"/>
              </w:rPr>
              <w:t>Quiz 12</w:t>
            </w:r>
          </w:p>
        </w:tc>
        <w:tc>
          <w:tcPr>
            <w:tcW w:w="7525" w:type="dxa"/>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5/1</w:t>
            </w:r>
          </w:p>
        </w:tc>
        <w:tc>
          <w:tcPr>
            <w:tcW w:w="1620" w:type="dxa"/>
          </w:tcPr>
          <w:p>
            <w:pPr>
              <w:jc w:val="center"/>
              <w:rPr>
                <w:rFonts w:ascii="Times New Roman Regular" w:hAnsi="Times New Roman Regular" w:cs="Times New Roman Regular"/>
                <w:sz w:val="22"/>
                <w:szCs w:val="22"/>
              </w:rPr>
            </w:pPr>
            <w:r>
              <w:rPr>
                <w:rFonts w:ascii="Times New Roman Regular" w:hAnsi="Times New Roman Regular" w:cs="Times New Roman Regular"/>
                <w:sz w:val="22"/>
                <w:szCs w:val="22"/>
              </w:rPr>
              <w:t>15</w:t>
            </w:r>
          </w:p>
        </w:tc>
        <w:tc>
          <w:tcPr>
            <w:tcW w:w="7525" w:type="dxa"/>
          </w:tcPr>
          <w:p>
            <w:pPr>
              <w:rPr>
                <w:rFonts w:ascii="Times New Roman Regular" w:hAnsi="Times New Roman Regular" w:cs="Times New Roman Regular"/>
                <w:i/>
                <w:sz w:val="22"/>
                <w:szCs w:val="22"/>
              </w:rPr>
            </w:pPr>
            <w:r>
              <w:rPr>
                <w:rFonts w:ascii="Times New Roman Regular" w:hAnsi="Times New Roman Regular" w:cs="Times New Roman Regular"/>
                <w:i/>
                <w:sz w:val="22"/>
                <w:szCs w:val="22"/>
              </w:rPr>
              <w:t>Chapter 15: Audit Reports</w:t>
            </w:r>
          </w:p>
          <w:p>
            <w:pPr>
              <w:rPr>
                <w:rFonts w:ascii="Times New Roman Regular" w:hAnsi="Times New Roman Regular" w:cs="Times New Roman Regular"/>
                <w:sz w:val="22"/>
                <w:szCs w:val="22"/>
              </w:rPr>
            </w:pPr>
          </w:p>
          <w:p>
            <w:pPr>
              <w:rPr>
                <w:rFonts w:ascii="Times New Roman Regular" w:hAnsi="Times New Roman Regular" w:cs="Times New Roman Regular"/>
                <w:sz w:val="22"/>
                <w:szCs w:val="22"/>
              </w:rPr>
            </w:pPr>
            <w:r>
              <w:rPr>
                <w:rFonts w:ascii="Times New Roman Regular" w:hAnsi="Times New Roman Regular" w:cs="Times New Roman Regular"/>
                <w:sz w:val="22"/>
                <w:szCs w:val="22"/>
              </w:rPr>
              <w:t>15-25 (audit report practice), 15-26 (audit report practice)</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5/6</w:t>
            </w:r>
          </w:p>
        </w:tc>
        <w:tc>
          <w:tcPr>
            <w:tcW w:w="1620"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15</w:t>
            </w:r>
          </w:p>
        </w:tc>
        <w:tc>
          <w:tcPr>
            <w:tcW w:w="7525" w:type="dxa"/>
          </w:tcPr>
          <w:p>
            <w:pPr>
              <w:rPr>
                <w:rFonts w:ascii="Times New Roman Regular" w:hAnsi="Times New Roman Regular" w:cs="Times New Roman Regular"/>
                <w:sz w:val="22"/>
                <w:szCs w:val="22"/>
              </w:rPr>
            </w:pPr>
            <w:r>
              <w:rPr>
                <w:rFonts w:ascii="Times New Roman Regular" w:hAnsi="Times New Roman Regular" w:cs="Times New Roman Regular"/>
                <w:sz w:val="22"/>
                <w:szCs w:val="22"/>
              </w:rPr>
              <w:t>15-39 (KAMs vs. CAMs)</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45" w:type="dxa"/>
          </w:tcPr>
          <w:p>
            <w:pPr>
              <w:jc w:val="center"/>
              <w:rPr>
                <w:rFonts w:hint="default" w:ascii="Times New Roman Regular" w:hAnsi="Times New Roman Regular" w:cs="Times New Roman Regular"/>
                <w:sz w:val="22"/>
                <w:szCs w:val="22"/>
                <w:lang w:val="en-US"/>
              </w:rPr>
            </w:pPr>
            <w:r>
              <w:rPr>
                <w:rFonts w:hint="default" w:ascii="Times New Roman Regular" w:hAnsi="Times New Roman Regular" w:cs="Times New Roman Regular"/>
                <w:sz w:val="22"/>
                <w:szCs w:val="22"/>
                <w:lang w:val="en-US"/>
              </w:rPr>
              <w:t>5/7</w:t>
            </w:r>
            <w:bookmarkStart w:id="0" w:name="_GoBack"/>
            <w:bookmarkEnd w:id="0"/>
          </w:p>
        </w:tc>
        <w:tc>
          <w:tcPr>
            <w:tcW w:w="1620" w:type="dxa"/>
            <w:vAlign w:val="top"/>
          </w:tcPr>
          <w:p>
            <w:pPr>
              <w:jc w:val="center"/>
              <w:rPr>
                <w:rFonts w:hint="default" w:ascii="Times New Roman Regular" w:hAnsi="Times New Roman Regular" w:cs="Times New Roman Regular"/>
                <w:sz w:val="22"/>
                <w:szCs w:val="22"/>
                <w:lang w:val="en-US"/>
              </w:rPr>
            </w:pPr>
            <w:r>
              <w:rPr>
                <w:rFonts w:ascii="Times New Roman Regular" w:hAnsi="Times New Roman Regular" w:cs="Times New Roman Regular"/>
                <w:b/>
                <w:bCs/>
                <w:sz w:val="22"/>
                <w:szCs w:val="22"/>
              </w:rPr>
              <w:t>Quiz 13</w:t>
            </w:r>
          </w:p>
        </w:tc>
        <w:tc>
          <w:tcPr>
            <w:tcW w:w="7525" w:type="dxa"/>
            <w:vAlign w:val="top"/>
          </w:tcPr>
          <w:p>
            <w:pPr>
              <w:rPr>
                <w:rFonts w:ascii="Times New Roman Regular" w:hAnsi="Times New Roman Regular" w:cs="Times New Roman Regular"/>
                <w:b/>
                <w:bCs/>
                <w:sz w:val="22"/>
                <w:szCs w:val="22"/>
              </w:rPr>
            </w:pPr>
            <w:r>
              <w:rPr>
                <w:rFonts w:ascii="Times New Roman Regular" w:hAnsi="Times New Roman Regular" w:cs="Times New Roman Regular"/>
                <w:b/>
                <w:bCs/>
                <w:sz w:val="22"/>
                <w:szCs w:val="22"/>
              </w:rPr>
              <w:t>ONLINE USING HONORLOCK, 5-10 PM</w:t>
            </w:r>
          </w:p>
          <w:p>
            <w:pPr>
              <w:rPr>
                <w:rFonts w:ascii="Times New Roman Regular" w:hAnsi="Times New Roman Regular" w:cs="Times New Roman Regula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1" w:hRule="atLeast"/>
          <w:jc w:val="center"/>
        </w:trPr>
        <w:tc>
          <w:tcPr>
            <w:tcW w:w="1345" w:type="dxa"/>
          </w:tcPr>
          <w:p>
            <w:pPr>
              <w:jc w:val="center"/>
              <w:rPr>
                <w:rFonts w:hint="default" w:ascii="Times New Roman Regular" w:hAnsi="Times New Roman Regular" w:cs="Times New Roman Regular"/>
                <w:bCs/>
                <w:sz w:val="22"/>
                <w:szCs w:val="22"/>
                <w:lang w:val="en-US"/>
              </w:rPr>
            </w:pPr>
            <w:r>
              <w:rPr>
                <w:rFonts w:hint="default" w:ascii="Times New Roman Regular" w:hAnsi="Times New Roman Regular" w:cs="Times New Roman Regular"/>
                <w:bCs/>
                <w:sz w:val="22"/>
                <w:szCs w:val="22"/>
                <w:lang w:val="en-US"/>
              </w:rPr>
              <w:t>5/8</w:t>
            </w:r>
          </w:p>
        </w:tc>
        <w:tc>
          <w:tcPr>
            <w:tcW w:w="1620" w:type="dxa"/>
          </w:tcPr>
          <w:p>
            <w:pPr>
              <w:jc w:val="center"/>
              <w:rPr>
                <w:rFonts w:ascii="Times New Roman Regular" w:hAnsi="Times New Roman Regular" w:cs="Times New Roman Regular"/>
                <w:b/>
                <w:sz w:val="22"/>
                <w:szCs w:val="22"/>
              </w:rPr>
            </w:pPr>
            <w:r>
              <w:rPr>
                <w:rFonts w:ascii="Times New Roman Regular" w:hAnsi="Times New Roman Regular" w:cs="Times New Roman Regular"/>
                <w:b/>
                <w:sz w:val="22"/>
                <w:szCs w:val="22"/>
              </w:rPr>
              <w:t>Final Exam</w:t>
            </w:r>
          </w:p>
          <w:p>
            <w:pPr>
              <w:jc w:val="center"/>
              <w:rPr>
                <w:rFonts w:ascii="Times New Roman Regular" w:hAnsi="Times New Roman Regular" w:cs="Times New Roman Regular"/>
                <w:b/>
                <w:sz w:val="22"/>
                <w:szCs w:val="22"/>
              </w:rPr>
            </w:pPr>
          </w:p>
        </w:tc>
        <w:tc>
          <w:tcPr>
            <w:tcW w:w="7525" w:type="dxa"/>
          </w:tcPr>
          <w:p>
            <w:pPr>
              <w:rPr>
                <w:rFonts w:hint="default" w:ascii="Times New Roman Regular" w:hAnsi="Times New Roman Regular" w:cs="Times New Roman Regular"/>
                <w:sz w:val="22"/>
                <w:szCs w:val="22"/>
                <w:lang w:val="en-US"/>
              </w:rPr>
            </w:pPr>
            <w:r>
              <w:rPr>
                <w:rFonts w:ascii="Times New Roman Regular" w:hAnsi="Times New Roman Regular" w:cs="Times New Roman Regular"/>
                <w:b/>
                <w:bCs/>
                <w:sz w:val="22"/>
                <w:szCs w:val="22"/>
              </w:rPr>
              <w:t xml:space="preserve">ONLINE USING HONORLOCK, </w:t>
            </w:r>
            <w:r>
              <w:rPr>
                <w:rFonts w:hint="default" w:ascii="Times New Roman Regular" w:hAnsi="Times New Roman Regular" w:cs="Times New Roman Regular"/>
                <w:b/>
                <w:bCs/>
                <w:sz w:val="22"/>
                <w:szCs w:val="22"/>
                <w:lang w:val="en-US"/>
              </w:rPr>
              <w:t>2:45 - 4:45PM</w:t>
            </w:r>
          </w:p>
        </w:tc>
      </w:tr>
    </w:tbl>
    <w:p>
      <w:pPr>
        <w:rPr>
          <w:rFonts w:ascii="Times New Roman Regular" w:hAnsi="Times New Roman Regular" w:cs="Times New Roman Regular"/>
          <w:sz w:val="22"/>
          <w:szCs w:val="22"/>
        </w:rPr>
      </w:pPr>
    </w:p>
    <w:sectPr>
      <w:footerReference r:id="rId5" w:type="first"/>
      <w:footerReference r:id="rId3" w:type="default"/>
      <w:footerReference r:id="rId4" w:type="even"/>
      <w:pgSz w:w="12240" w:h="15840"/>
      <w:pgMar w:top="720" w:right="720" w:bottom="720" w:left="720" w:header="720" w:footer="720"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00000000" w:usb1="00000000" w:usb2="00000000" w:usb3="00000000" w:csb0="00160000" w:csb1="00000000"/>
  </w:font>
  <w:font w:name="MS Mincho">
    <w:altName w:val="Hiragino Sans"/>
    <w:panose1 w:val="02020609040205080304"/>
    <w:charset w:val="80"/>
    <w:family w:val="modern"/>
    <w:pitch w:val="default"/>
    <w:sig w:usb0="00000000" w:usb1="00000000" w:usb2="08000012" w:usb3="00000000" w:csb0="0002009F" w:csb1="00000000"/>
  </w:font>
  <w:font w:name="Hiragino Sans">
    <w:panose1 w:val="020B0300000000000000"/>
    <w:charset w:val="86"/>
    <w:family w:val="auto"/>
    <w:pitch w:val="default"/>
    <w:sig w:usb0="00000000" w:usb1="00000000" w:usb2="00000000" w:usb3="00000000" w:csb0="00160000" w:csb1="0000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00000000" w:csb1="00000000"/>
  </w:font>
  <w:font w:name="Times New Roman Regular">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rPr>
                              <w:rStyle w:val="25"/>
                            </w:rPr>
                          </w:pPr>
                          <w:r>
                            <w:rPr>
                              <w:rStyle w:val="25"/>
                            </w:rPr>
                            <w:fldChar w:fldCharType="begin"/>
                          </w:r>
                          <w:r>
                            <w:rPr>
                              <w:rStyle w:val="25"/>
                            </w:rPr>
                            <w:instrText xml:space="preserve">PAGE  </w:instrText>
                          </w:r>
                          <w:r>
                            <w:rPr>
                              <w:rStyle w:val="25"/>
                            </w:rPr>
                            <w:fldChar w:fldCharType="separate"/>
                          </w:r>
                          <w:r>
                            <w:rPr>
                              <w:rStyle w:val="25"/>
                            </w:rPr>
                            <w:t>10</w:t>
                          </w:r>
                          <w:r>
                            <w:rPr>
                              <w:rStyle w:val="25"/>
                            </w:rP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JxRF6gaAgAAVAQAAA4AAAAAAAAAAQAgAAAANQEAAGRycy9lMm9Eb2MueG1sUEsFBgAA&#10;AAAGAAYAWQEAAMEFAAAAAA==&#10;">
              <v:fill on="f" focussize="0,0"/>
              <v:stroke on="f" weight="0.5pt"/>
              <v:imagedata o:title=""/>
              <o:lock v:ext="edit" aspectratio="f"/>
              <v:textbox inset="0mm,0mm,0mm,0mm" style="mso-fit-shape-to-text:t;">
                <w:txbxContent>
                  <w:p>
                    <w:pPr>
                      <w:pStyle w:val="21"/>
                      <w:rPr>
                        <w:rStyle w:val="25"/>
                      </w:rPr>
                    </w:pPr>
                    <w:r>
                      <w:rPr>
                        <w:rStyle w:val="25"/>
                      </w:rPr>
                      <w:fldChar w:fldCharType="begin"/>
                    </w:r>
                    <w:r>
                      <w:rPr>
                        <w:rStyle w:val="25"/>
                      </w:rPr>
                      <w:instrText xml:space="preserve">PAGE  </w:instrText>
                    </w:r>
                    <w:r>
                      <w:rPr>
                        <w:rStyle w:val="25"/>
                      </w:rPr>
                      <w:fldChar w:fldCharType="separate"/>
                    </w:r>
                    <w:r>
                      <w:rPr>
                        <w:rStyle w:val="25"/>
                      </w:rPr>
                      <w:t>10</w:t>
                    </w:r>
                    <w:r>
                      <w:rPr>
                        <w:rStyle w:val="25"/>
                      </w:rPr>
                      <w:fldChar w:fldCharType="end"/>
                    </w: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25"/>
      </w:rPr>
    </w:pPr>
    <w:r>
      <w:rPr>
        <w:rStyle w:val="25"/>
      </w:rPr>
      <w:fldChar w:fldCharType="begin"/>
    </w:r>
    <w:r>
      <w:rPr>
        <w:rStyle w:val="25"/>
      </w:rPr>
      <w:instrText xml:space="preserve">PAGE  </w:instrText>
    </w:r>
    <w:r>
      <w:rPr>
        <w:rStyle w:val="25"/>
      </w:rPr>
      <w:fldChar w:fldCharType="separate"/>
    </w:r>
    <w:r>
      <w:rPr>
        <w:rStyle w:val="25"/>
      </w:rPr>
      <w:t>4</w:t>
    </w:r>
    <w:r>
      <w:rPr>
        <w:rStyle w:val="25"/>
      </w:rPr>
      <w:fldChar w:fldCharType="end"/>
    </w:r>
  </w:p>
  <w:p>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CUXBPGwIAAFQEAAAOAAAAAAAAAAEAIAAAADUBAABkcnMvZTJvRG9jLnhtbFBLBQYA&#10;AAAABgAGAFkBAADC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E32BD"/>
    <w:multiLevelType w:val="multilevel"/>
    <w:tmpl w:val="032E32B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F3052E0"/>
    <w:multiLevelType w:val="multilevel"/>
    <w:tmpl w:val="0F3052E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6522271E"/>
    <w:multiLevelType w:val="singleLevel"/>
    <w:tmpl w:val="6522271E"/>
    <w:lvl w:ilvl="0" w:tentative="0">
      <w:start w:val="1"/>
      <w:numFmt w:val="bullet"/>
      <w:pStyle w:val="29"/>
      <w:lvlText w:val=""/>
      <w:lvlJc w:val="left"/>
      <w:pPr>
        <w:tabs>
          <w:tab w:val="left" w:pos="360"/>
        </w:tabs>
        <w:ind w:left="360" w:hanging="360"/>
      </w:pPr>
      <w:rPr>
        <w:rFonts w:hint="default" w:ascii="Symbol" w:hAnsi="Symbol"/>
      </w:rPr>
    </w:lvl>
  </w:abstractNum>
  <w:abstractNum w:abstractNumId="3">
    <w:nsid w:val="66B63055"/>
    <w:multiLevelType w:val="singleLevel"/>
    <w:tmpl w:val="66B63055"/>
    <w:lvl w:ilvl="0" w:tentative="0">
      <w:start w:val="1"/>
      <w:numFmt w:val="bullet"/>
      <w:lvlText w:val=""/>
      <w:lvlJc w:val="left"/>
      <w:pPr>
        <w:tabs>
          <w:tab w:val="left" w:pos="360"/>
        </w:tabs>
        <w:ind w:left="360" w:hanging="360"/>
      </w:pPr>
      <w:rPr>
        <w:rFonts w:hint="default" w:ascii="Symbol" w:hAnsi="Symbol"/>
      </w:rPr>
    </w:lvl>
  </w:abstractNum>
  <w:abstractNum w:abstractNumId="4">
    <w:nsid w:val="73793C89"/>
    <w:multiLevelType w:val="multilevel"/>
    <w:tmpl w:val="73793C8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7391CFD"/>
    <w:multiLevelType w:val="singleLevel"/>
    <w:tmpl w:val="77391CFD"/>
    <w:lvl w:ilvl="0" w:tentative="0">
      <w:start w:val="1"/>
      <w:numFmt w:val="bullet"/>
      <w:lvlText w:val=""/>
      <w:lvlJc w:val="left"/>
      <w:pPr>
        <w:tabs>
          <w:tab w:val="left" w:pos="360"/>
        </w:tabs>
        <w:ind w:left="360" w:hanging="360"/>
      </w:pPr>
      <w:rPr>
        <w:rFonts w:hint="default" w:ascii="Symbol" w:hAnsi="Symbol"/>
      </w:r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isplayHorizontalDrawingGridEvery w:val="0"/>
  <w:displayVerticalDrawingGridEvery w:val="0"/>
  <w:doNotUseMarginsForDrawingGridOrigin w:val="1"/>
  <w:drawingGridHorizontalOrigin w:val="1800"/>
  <w:drawingGridVerticalOrigin w:val="1440"/>
  <w:noPunctuationKerning w:val="1"/>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26E"/>
    <w:rsid w:val="000000C3"/>
    <w:rsid w:val="00010097"/>
    <w:rsid w:val="00010853"/>
    <w:rsid w:val="00012F91"/>
    <w:rsid w:val="000140F8"/>
    <w:rsid w:val="000141A0"/>
    <w:rsid w:val="00015116"/>
    <w:rsid w:val="00021B42"/>
    <w:rsid w:val="00027925"/>
    <w:rsid w:val="0003001C"/>
    <w:rsid w:val="00031CE5"/>
    <w:rsid w:val="00031E25"/>
    <w:rsid w:val="0003279D"/>
    <w:rsid w:val="00032A87"/>
    <w:rsid w:val="00035D18"/>
    <w:rsid w:val="000364FF"/>
    <w:rsid w:val="00040437"/>
    <w:rsid w:val="000412BD"/>
    <w:rsid w:val="00042A0C"/>
    <w:rsid w:val="00046A1F"/>
    <w:rsid w:val="000470DC"/>
    <w:rsid w:val="000503AB"/>
    <w:rsid w:val="000521E6"/>
    <w:rsid w:val="00052428"/>
    <w:rsid w:val="00052DB1"/>
    <w:rsid w:val="000538BE"/>
    <w:rsid w:val="000569E6"/>
    <w:rsid w:val="00057FBA"/>
    <w:rsid w:val="00063E25"/>
    <w:rsid w:val="000658AB"/>
    <w:rsid w:val="00072A8D"/>
    <w:rsid w:val="00073805"/>
    <w:rsid w:val="00074E2F"/>
    <w:rsid w:val="00075ED0"/>
    <w:rsid w:val="00077D79"/>
    <w:rsid w:val="0008081B"/>
    <w:rsid w:val="000840E8"/>
    <w:rsid w:val="00087931"/>
    <w:rsid w:val="00087A10"/>
    <w:rsid w:val="00087A3D"/>
    <w:rsid w:val="000918C2"/>
    <w:rsid w:val="00093179"/>
    <w:rsid w:val="00094AA1"/>
    <w:rsid w:val="000A42DE"/>
    <w:rsid w:val="000A561F"/>
    <w:rsid w:val="000A73A2"/>
    <w:rsid w:val="000B111E"/>
    <w:rsid w:val="000B3B44"/>
    <w:rsid w:val="000B3E95"/>
    <w:rsid w:val="000B4DDF"/>
    <w:rsid w:val="000B507A"/>
    <w:rsid w:val="000C1528"/>
    <w:rsid w:val="000C3493"/>
    <w:rsid w:val="000C4B79"/>
    <w:rsid w:val="000C5693"/>
    <w:rsid w:val="000D0B0C"/>
    <w:rsid w:val="000D0F8E"/>
    <w:rsid w:val="000D7069"/>
    <w:rsid w:val="000E2F64"/>
    <w:rsid w:val="000E52B5"/>
    <w:rsid w:val="000E5377"/>
    <w:rsid w:val="000F11BE"/>
    <w:rsid w:val="000F12CF"/>
    <w:rsid w:val="000F4818"/>
    <w:rsid w:val="000F6B57"/>
    <w:rsid w:val="00101F9F"/>
    <w:rsid w:val="001027C1"/>
    <w:rsid w:val="00107008"/>
    <w:rsid w:val="00110B93"/>
    <w:rsid w:val="001112B2"/>
    <w:rsid w:val="0011692C"/>
    <w:rsid w:val="00116CB5"/>
    <w:rsid w:val="0012090E"/>
    <w:rsid w:val="00123F05"/>
    <w:rsid w:val="00126CAF"/>
    <w:rsid w:val="00127396"/>
    <w:rsid w:val="00133FD6"/>
    <w:rsid w:val="001412A9"/>
    <w:rsid w:val="00141CE9"/>
    <w:rsid w:val="00143558"/>
    <w:rsid w:val="00144C19"/>
    <w:rsid w:val="001516CC"/>
    <w:rsid w:val="00152C3E"/>
    <w:rsid w:val="00156490"/>
    <w:rsid w:val="001574C0"/>
    <w:rsid w:val="00160464"/>
    <w:rsid w:val="00162A6F"/>
    <w:rsid w:val="00166467"/>
    <w:rsid w:val="001667A5"/>
    <w:rsid w:val="00173934"/>
    <w:rsid w:val="001807CF"/>
    <w:rsid w:val="00182973"/>
    <w:rsid w:val="00183F2A"/>
    <w:rsid w:val="0019219C"/>
    <w:rsid w:val="001924E9"/>
    <w:rsid w:val="00192C0D"/>
    <w:rsid w:val="001B227B"/>
    <w:rsid w:val="001C3E17"/>
    <w:rsid w:val="001C515A"/>
    <w:rsid w:val="001C5E69"/>
    <w:rsid w:val="001C7E80"/>
    <w:rsid w:val="001D31EC"/>
    <w:rsid w:val="001E1097"/>
    <w:rsid w:val="001E20B8"/>
    <w:rsid w:val="001E20FD"/>
    <w:rsid w:val="001E54A7"/>
    <w:rsid w:val="001F1813"/>
    <w:rsid w:val="001F2250"/>
    <w:rsid w:val="001F34D4"/>
    <w:rsid w:val="001F4444"/>
    <w:rsid w:val="001F4DFC"/>
    <w:rsid w:val="001F4FBD"/>
    <w:rsid w:val="001F5670"/>
    <w:rsid w:val="001F6D01"/>
    <w:rsid w:val="002003FE"/>
    <w:rsid w:val="00202A46"/>
    <w:rsid w:val="002032FE"/>
    <w:rsid w:val="00204738"/>
    <w:rsid w:val="00204B79"/>
    <w:rsid w:val="00205252"/>
    <w:rsid w:val="00205904"/>
    <w:rsid w:val="00212C8D"/>
    <w:rsid w:val="002130D6"/>
    <w:rsid w:val="0021329F"/>
    <w:rsid w:val="00213FD0"/>
    <w:rsid w:val="00221FB5"/>
    <w:rsid w:val="002271F5"/>
    <w:rsid w:val="002337DE"/>
    <w:rsid w:val="002349AA"/>
    <w:rsid w:val="00240040"/>
    <w:rsid w:val="0024062C"/>
    <w:rsid w:val="002410DD"/>
    <w:rsid w:val="00242AD9"/>
    <w:rsid w:val="00244E54"/>
    <w:rsid w:val="002454CA"/>
    <w:rsid w:val="00247C74"/>
    <w:rsid w:val="0025298D"/>
    <w:rsid w:val="00254664"/>
    <w:rsid w:val="00255F04"/>
    <w:rsid w:val="002627A5"/>
    <w:rsid w:val="00262FA2"/>
    <w:rsid w:val="00263A5E"/>
    <w:rsid w:val="002645EA"/>
    <w:rsid w:val="0027144F"/>
    <w:rsid w:val="00272606"/>
    <w:rsid w:val="00274B3D"/>
    <w:rsid w:val="00274F66"/>
    <w:rsid w:val="00275551"/>
    <w:rsid w:val="002758AD"/>
    <w:rsid w:val="002758ED"/>
    <w:rsid w:val="00275BBE"/>
    <w:rsid w:val="00280EF7"/>
    <w:rsid w:val="00284734"/>
    <w:rsid w:val="00285279"/>
    <w:rsid w:val="0028621E"/>
    <w:rsid w:val="002910B0"/>
    <w:rsid w:val="00292A14"/>
    <w:rsid w:val="0029388B"/>
    <w:rsid w:val="002959E3"/>
    <w:rsid w:val="0029659B"/>
    <w:rsid w:val="002B1098"/>
    <w:rsid w:val="002B606D"/>
    <w:rsid w:val="002B7450"/>
    <w:rsid w:val="002C0F45"/>
    <w:rsid w:val="002C6ED4"/>
    <w:rsid w:val="002C7573"/>
    <w:rsid w:val="002D0135"/>
    <w:rsid w:val="002D2597"/>
    <w:rsid w:val="002D5D37"/>
    <w:rsid w:val="002D7B16"/>
    <w:rsid w:val="002E034E"/>
    <w:rsid w:val="002E0587"/>
    <w:rsid w:val="002E1C6D"/>
    <w:rsid w:val="002E409F"/>
    <w:rsid w:val="002F30A7"/>
    <w:rsid w:val="002F3357"/>
    <w:rsid w:val="002F5A0D"/>
    <w:rsid w:val="003015DF"/>
    <w:rsid w:val="00310A0E"/>
    <w:rsid w:val="00312B64"/>
    <w:rsid w:val="00313E82"/>
    <w:rsid w:val="003175C9"/>
    <w:rsid w:val="00320503"/>
    <w:rsid w:val="003233B0"/>
    <w:rsid w:val="003255C1"/>
    <w:rsid w:val="00330C58"/>
    <w:rsid w:val="0033247F"/>
    <w:rsid w:val="00332A22"/>
    <w:rsid w:val="00333050"/>
    <w:rsid w:val="0033316A"/>
    <w:rsid w:val="003375CB"/>
    <w:rsid w:val="00340134"/>
    <w:rsid w:val="0034355C"/>
    <w:rsid w:val="003447D7"/>
    <w:rsid w:val="003450BB"/>
    <w:rsid w:val="00346125"/>
    <w:rsid w:val="00347A01"/>
    <w:rsid w:val="003520BC"/>
    <w:rsid w:val="00352261"/>
    <w:rsid w:val="00353677"/>
    <w:rsid w:val="0035541F"/>
    <w:rsid w:val="00356426"/>
    <w:rsid w:val="003608C2"/>
    <w:rsid w:val="00367DD5"/>
    <w:rsid w:val="00367EC4"/>
    <w:rsid w:val="00372453"/>
    <w:rsid w:val="00385BA8"/>
    <w:rsid w:val="00385FB0"/>
    <w:rsid w:val="003875FD"/>
    <w:rsid w:val="0038781A"/>
    <w:rsid w:val="003903D6"/>
    <w:rsid w:val="003906EB"/>
    <w:rsid w:val="0039078A"/>
    <w:rsid w:val="00397B03"/>
    <w:rsid w:val="003A1F62"/>
    <w:rsid w:val="003A4088"/>
    <w:rsid w:val="003A4E54"/>
    <w:rsid w:val="003A5FDD"/>
    <w:rsid w:val="003A6FCD"/>
    <w:rsid w:val="003A73E5"/>
    <w:rsid w:val="003B06BA"/>
    <w:rsid w:val="003B2A90"/>
    <w:rsid w:val="003B331D"/>
    <w:rsid w:val="003B6B9C"/>
    <w:rsid w:val="003B6C9B"/>
    <w:rsid w:val="003C326B"/>
    <w:rsid w:val="003C4872"/>
    <w:rsid w:val="003C528B"/>
    <w:rsid w:val="003D1696"/>
    <w:rsid w:val="003D23BC"/>
    <w:rsid w:val="003D3801"/>
    <w:rsid w:val="003D67A3"/>
    <w:rsid w:val="003E0279"/>
    <w:rsid w:val="003E0554"/>
    <w:rsid w:val="003E13B0"/>
    <w:rsid w:val="003E4407"/>
    <w:rsid w:val="003E595C"/>
    <w:rsid w:val="003F07A7"/>
    <w:rsid w:val="003F416A"/>
    <w:rsid w:val="003F45D4"/>
    <w:rsid w:val="003F501E"/>
    <w:rsid w:val="003F6A72"/>
    <w:rsid w:val="004009D1"/>
    <w:rsid w:val="00405FE7"/>
    <w:rsid w:val="004061B0"/>
    <w:rsid w:val="00411D6D"/>
    <w:rsid w:val="00411E87"/>
    <w:rsid w:val="0041516F"/>
    <w:rsid w:val="00416D98"/>
    <w:rsid w:val="00416E00"/>
    <w:rsid w:val="00417045"/>
    <w:rsid w:val="0042119A"/>
    <w:rsid w:val="00423E62"/>
    <w:rsid w:val="004402C9"/>
    <w:rsid w:val="00441B00"/>
    <w:rsid w:val="00445AAF"/>
    <w:rsid w:val="00450865"/>
    <w:rsid w:val="00454519"/>
    <w:rsid w:val="00460746"/>
    <w:rsid w:val="00464AC6"/>
    <w:rsid w:val="00465E5D"/>
    <w:rsid w:val="00471AD0"/>
    <w:rsid w:val="00482897"/>
    <w:rsid w:val="00484B34"/>
    <w:rsid w:val="00485A35"/>
    <w:rsid w:val="004903B5"/>
    <w:rsid w:val="00491785"/>
    <w:rsid w:val="00497278"/>
    <w:rsid w:val="0049750E"/>
    <w:rsid w:val="0049769C"/>
    <w:rsid w:val="004A15EC"/>
    <w:rsid w:val="004A4056"/>
    <w:rsid w:val="004A4DA2"/>
    <w:rsid w:val="004A5B87"/>
    <w:rsid w:val="004A67F7"/>
    <w:rsid w:val="004A7D3D"/>
    <w:rsid w:val="004B2B84"/>
    <w:rsid w:val="004B3E2E"/>
    <w:rsid w:val="004B4833"/>
    <w:rsid w:val="004C0E4B"/>
    <w:rsid w:val="004C146E"/>
    <w:rsid w:val="004C1F5A"/>
    <w:rsid w:val="004C4003"/>
    <w:rsid w:val="004C4B47"/>
    <w:rsid w:val="004C5F2D"/>
    <w:rsid w:val="004D1D5A"/>
    <w:rsid w:val="004D6ADC"/>
    <w:rsid w:val="004D7A0B"/>
    <w:rsid w:val="004E49F5"/>
    <w:rsid w:val="004F26E1"/>
    <w:rsid w:val="004F341A"/>
    <w:rsid w:val="00511288"/>
    <w:rsid w:val="00511640"/>
    <w:rsid w:val="00516A8D"/>
    <w:rsid w:val="00522FA2"/>
    <w:rsid w:val="0052355B"/>
    <w:rsid w:val="005324AC"/>
    <w:rsid w:val="0053299E"/>
    <w:rsid w:val="0053361F"/>
    <w:rsid w:val="005374E4"/>
    <w:rsid w:val="00540493"/>
    <w:rsid w:val="005404E3"/>
    <w:rsid w:val="00541931"/>
    <w:rsid w:val="00544B8E"/>
    <w:rsid w:val="005451B1"/>
    <w:rsid w:val="005501AC"/>
    <w:rsid w:val="00550AFD"/>
    <w:rsid w:val="005513AC"/>
    <w:rsid w:val="00554801"/>
    <w:rsid w:val="00557D3A"/>
    <w:rsid w:val="005612F1"/>
    <w:rsid w:val="005627FB"/>
    <w:rsid w:val="00566D5C"/>
    <w:rsid w:val="005670C6"/>
    <w:rsid w:val="00567797"/>
    <w:rsid w:val="005718EE"/>
    <w:rsid w:val="00572A1F"/>
    <w:rsid w:val="005774F3"/>
    <w:rsid w:val="005803A2"/>
    <w:rsid w:val="00582687"/>
    <w:rsid w:val="005827B0"/>
    <w:rsid w:val="005852C3"/>
    <w:rsid w:val="00587E36"/>
    <w:rsid w:val="00590A02"/>
    <w:rsid w:val="005923BF"/>
    <w:rsid w:val="0059276B"/>
    <w:rsid w:val="00593308"/>
    <w:rsid w:val="00593437"/>
    <w:rsid w:val="00596746"/>
    <w:rsid w:val="005A7EFC"/>
    <w:rsid w:val="005C0224"/>
    <w:rsid w:val="005C1522"/>
    <w:rsid w:val="005C4E5C"/>
    <w:rsid w:val="005C5F70"/>
    <w:rsid w:val="005D12D7"/>
    <w:rsid w:val="005D1FD5"/>
    <w:rsid w:val="005D2AB3"/>
    <w:rsid w:val="005D3938"/>
    <w:rsid w:val="005D4742"/>
    <w:rsid w:val="005D5AAB"/>
    <w:rsid w:val="005D75F6"/>
    <w:rsid w:val="005E1AC1"/>
    <w:rsid w:val="005E3E86"/>
    <w:rsid w:val="005E65D6"/>
    <w:rsid w:val="005F3E89"/>
    <w:rsid w:val="005F4A06"/>
    <w:rsid w:val="005F621A"/>
    <w:rsid w:val="005F72CD"/>
    <w:rsid w:val="005F78E2"/>
    <w:rsid w:val="0060144D"/>
    <w:rsid w:val="00602609"/>
    <w:rsid w:val="00606247"/>
    <w:rsid w:val="00607CF9"/>
    <w:rsid w:val="00607FDC"/>
    <w:rsid w:val="00613D14"/>
    <w:rsid w:val="006151D5"/>
    <w:rsid w:val="00616E0F"/>
    <w:rsid w:val="00622A0E"/>
    <w:rsid w:val="00623860"/>
    <w:rsid w:val="006242E1"/>
    <w:rsid w:val="00624B97"/>
    <w:rsid w:val="006277C5"/>
    <w:rsid w:val="00635019"/>
    <w:rsid w:val="0064011D"/>
    <w:rsid w:val="006459F6"/>
    <w:rsid w:val="00646E53"/>
    <w:rsid w:val="00653948"/>
    <w:rsid w:val="006542AE"/>
    <w:rsid w:val="00654AA0"/>
    <w:rsid w:val="00656C8F"/>
    <w:rsid w:val="00657061"/>
    <w:rsid w:val="00657188"/>
    <w:rsid w:val="00662A1D"/>
    <w:rsid w:val="00663A56"/>
    <w:rsid w:val="0066445D"/>
    <w:rsid w:val="00665D31"/>
    <w:rsid w:val="006668C3"/>
    <w:rsid w:val="006754EB"/>
    <w:rsid w:val="00675C2A"/>
    <w:rsid w:val="00680F00"/>
    <w:rsid w:val="00683B2D"/>
    <w:rsid w:val="00684424"/>
    <w:rsid w:val="00684B36"/>
    <w:rsid w:val="00685AC1"/>
    <w:rsid w:val="00686D75"/>
    <w:rsid w:val="006921EF"/>
    <w:rsid w:val="00693346"/>
    <w:rsid w:val="00693D42"/>
    <w:rsid w:val="0069504C"/>
    <w:rsid w:val="00695859"/>
    <w:rsid w:val="006A1542"/>
    <w:rsid w:val="006A2C47"/>
    <w:rsid w:val="006B0C58"/>
    <w:rsid w:val="006B1C87"/>
    <w:rsid w:val="006B220C"/>
    <w:rsid w:val="006B35C3"/>
    <w:rsid w:val="006B3E3C"/>
    <w:rsid w:val="006C15DD"/>
    <w:rsid w:val="006C27D7"/>
    <w:rsid w:val="006C403B"/>
    <w:rsid w:val="006D2717"/>
    <w:rsid w:val="006D5036"/>
    <w:rsid w:val="006D5A7F"/>
    <w:rsid w:val="006E2210"/>
    <w:rsid w:val="006E4A15"/>
    <w:rsid w:val="006F024D"/>
    <w:rsid w:val="006F3EF3"/>
    <w:rsid w:val="006F45E5"/>
    <w:rsid w:val="006F5E03"/>
    <w:rsid w:val="006F74DF"/>
    <w:rsid w:val="00701496"/>
    <w:rsid w:val="00703400"/>
    <w:rsid w:val="007036F6"/>
    <w:rsid w:val="007128D4"/>
    <w:rsid w:val="00714069"/>
    <w:rsid w:val="00714BB0"/>
    <w:rsid w:val="00715AA7"/>
    <w:rsid w:val="00715C6F"/>
    <w:rsid w:val="00716EAE"/>
    <w:rsid w:val="0071796C"/>
    <w:rsid w:val="00724010"/>
    <w:rsid w:val="007240AA"/>
    <w:rsid w:val="007246AB"/>
    <w:rsid w:val="00725CA9"/>
    <w:rsid w:val="00727B6D"/>
    <w:rsid w:val="00734114"/>
    <w:rsid w:val="0073590D"/>
    <w:rsid w:val="00735A22"/>
    <w:rsid w:val="00736FEB"/>
    <w:rsid w:val="007371E2"/>
    <w:rsid w:val="00742C56"/>
    <w:rsid w:val="0075059E"/>
    <w:rsid w:val="00751C42"/>
    <w:rsid w:val="00754580"/>
    <w:rsid w:val="007555C9"/>
    <w:rsid w:val="007642E5"/>
    <w:rsid w:val="00764B26"/>
    <w:rsid w:val="0076582E"/>
    <w:rsid w:val="00767993"/>
    <w:rsid w:val="00767CBD"/>
    <w:rsid w:val="00770A14"/>
    <w:rsid w:val="00770B00"/>
    <w:rsid w:val="00771204"/>
    <w:rsid w:val="00773850"/>
    <w:rsid w:val="0078384F"/>
    <w:rsid w:val="00783EF5"/>
    <w:rsid w:val="007868FD"/>
    <w:rsid w:val="00793ABF"/>
    <w:rsid w:val="00795511"/>
    <w:rsid w:val="00797E89"/>
    <w:rsid w:val="007B27C6"/>
    <w:rsid w:val="007B4E43"/>
    <w:rsid w:val="007B7AE0"/>
    <w:rsid w:val="007C0C9E"/>
    <w:rsid w:val="007C3190"/>
    <w:rsid w:val="007C3B8D"/>
    <w:rsid w:val="007C4313"/>
    <w:rsid w:val="007C619D"/>
    <w:rsid w:val="007C762D"/>
    <w:rsid w:val="007D093F"/>
    <w:rsid w:val="007D0AEE"/>
    <w:rsid w:val="007D2088"/>
    <w:rsid w:val="007D4490"/>
    <w:rsid w:val="007D4CBE"/>
    <w:rsid w:val="007D78A8"/>
    <w:rsid w:val="007E2150"/>
    <w:rsid w:val="007F10A1"/>
    <w:rsid w:val="007F62D6"/>
    <w:rsid w:val="007F7830"/>
    <w:rsid w:val="00802664"/>
    <w:rsid w:val="00804257"/>
    <w:rsid w:val="008043D0"/>
    <w:rsid w:val="00807C54"/>
    <w:rsid w:val="00810AE0"/>
    <w:rsid w:val="00814FAD"/>
    <w:rsid w:val="00831594"/>
    <w:rsid w:val="0083572D"/>
    <w:rsid w:val="00840869"/>
    <w:rsid w:val="00840BEE"/>
    <w:rsid w:val="00840EED"/>
    <w:rsid w:val="00841497"/>
    <w:rsid w:val="0084343C"/>
    <w:rsid w:val="0085387D"/>
    <w:rsid w:val="00855EB3"/>
    <w:rsid w:val="008563C3"/>
    <w:rsid w:val="00857880"/>
    <w:rsid w:val="00863D80"/>
    <w:rsid w:val="00867CA3"/>
    <w:rsid w:val="008707F6"/>
    <w:rsid w:val="0087416F"/>
    <w:rsid w:val="00875758"/>
    <w:rsid w:val="00887727"/>
    <w:rsid w:val="008967E4"/>
    <w:rsid w:val="008A0764"/>
    <w:rsid w:val="008A10CC"/>
    <w:rsid w:val="008A2E08"/>
    <w:rsid w:val="008A3E4D"/>
    <w:rsid w:val="008A6030"/>
    <w:rsid w:val="008A626C"/>
    <w:rsid w:val="008A7E65"/>
    <w:rsid w:val="008B11FE"/>
    <w:rsid w:val="008B14EA"/>
    <w:rsid w:val="008B2D12"/>
    <w:rsid w:val="008B475C"/>
    <w:rsid w:val="008C0201"/>
    <w:rsid w:val="008C2D1E"/>
    <w:rsid w:val="008C3E3F"/>
    <w:rsid w:val="008C5AE7"/>
    <w:rsid w:val="008C5E6B"/>
    <w:rsid w:val="008C7347"/>
    <w:rsid w:val="008C7C3E"/>
    <w:rsid w:val="008D136D"/>
    <w:rsid w:val="008D29F9"/>
    <w:rsid w:val="008D35AC"/>
    <w:rsid w:val="008D663A"/>
    <w:rsid w:val="008F0718"/>
    <w:rsid w:val="008F2417"/>
    <w:rsid w:val="008F3914"/>
    <w:rsid w:val="008F4922"/>
    <w:rsid w:val="008F5A11"/>
    <w:rsid w:val="0090002A"/>
    <w:rsid w:val="0090164C"/>
    <w:rsid w:val="00901B9B"/>
    <w:rsid w:val="00904CFF"/>
    <w:rsid w:val="00910A04"/>
    <w:rsid w:val="0091500A"/>
    <w:rsid w:val="00915504"/>
    <w:rsid w:val="00916234"/>
    <w:rsid w:val="00916FE5"/>
    <w:rsid w:val="00922DF2"/>
    <w:rsid w:val="00923242"/>
    <w:rsid w:val="00924525"/>
    <w:rsid w:val="00924A87"/>
    <w:rsid w:val="00924AE2"/>
    <w:rsid w:val="00924C0B"/>
    <w:rsid w:val="009268C5"/>
    <w:rsid w:val="00926C3D"/>
    <w:rsid w:val="0093322A"/>
    <w:rsid w:val="00934291"/>
    <w:rsid w:val="00941E4B"/>
    <w:rsid w:val="009423A1"/>
    <w:rsid w:val="00942881"/>
    <w:rsid w:val="0094588A"/>
    <w:rsid w:val="00947F24"/>
    <w:rsid w:val="00954517"/>
    <w:rsid w:val="00960912"/>
    <w:rsid w:val="00962826"/>
    <w:rsid w:val="00966C87"/>
    <w:rsid w:val="009670C1"/>
    <w:rsid w:val="009701CC"/>
    <w:rsid w:val="009723B5"/>
    <w:rsid w:val="00972E62"/>
    <w:rsid w:val="00974388"/>
    <w:rsid w:val="009762DA"/>
    <w:rsid w:val="00976DE2"/>
    <w:rsid w:val="00977819"/>
    <w:rsid w:val="0098130E"/>
    <w:rsid w:val="00983995"/>
    <w:rsid w:val="00984E35"/>
    <w:rsid w:val="00985AEA"/>
    <w:rsid w:val="00987408"/>
    <w:rsid w:val="00993480"/>
    <w:rsid w:val="009939C2"/>
    <w:rsid w:val="009948C6"/>
    <w:rsid w:val="00995D85"/>
    <w:rsid w:val="0099703D"/>
    <w:rsid w:val="00997F0E"/>
    <w:rsid w:val="009A31C6"/>
    <w:rsid w:val="009A7EF0"/>
    <w:rsid w:val="009B03CA"/>
    <w:rsid w:val="009B47DD"/>
    <w:rsid w:val="009B5221"/>
    <w:rsid w:val="009B6768"/>
    <w:rsid w:val="009B7C2B"/>
    <w:rsid w:val="009C34FB"/>
    <w:rsid w:val="009C3C19"/>
    <w:rsid w:val="009C454B"/>
    <w:rsid w:val="009C64BA"/>
    <w:rsid w:val="009C6D6E"/>
    <w:rsid w:val="009C7D50"/>
    <w:rsid w:val="009D0947"/>
    <w:rsid w:val="009D1352"/>
    <w:rsid w:val="009D2798"/>
    <w:rsid w:val="009D40CF"/>
    <w:rsid w:val="009D68F4"/>
    <w:rsid w:val="009D703F"/>
    <w:rsid w:val="009E2285"/>
    <w:rsid w:val="009F461B"/>
    <w:rsid w:val="009F7706"/>
    <w:rsid w:val="009F7EE0"/>
    <w:rsid w:val="00A05606"/>
    <w:rsid w:val="00A05AE5"/>
    <w:rsid w:val="00A10B7C"/>
    <w:rsid w:val="00A14967"/>
    <w:rsid w:val="00A16746"/>
    <w:rsid w:val="00A16D81"/>
    <w:rsid w:val="00A17D48"/>
    <w:rsid w:val="00A22BDC"/>
    <w:rsid w:val="00A233E4"/>
    <w:rsid w:val="00A25F86"/>
    <w:rsid w:val="00A31A8D"/>
    <w:rsid w:val="00A3306E"/>
    <w:rsid w:val="00A33654"/>
    <w:rsid w:val="00A37749"/>
    <w:rsid w:val="00A41936"/>
    <w:rsid w:val="00A42D68"/>
    <w:rsid w:val="00A43EAE"/>
    <w:rsid w:val="00A50B8E"/>
    <w:rsid w:val="00A51EE5"/>
    <w:rsid w:val="00A52269"/>
    <w:rsid w:val="00A60634"/>
    <w:rsid w:val="00A61710"/>
    <w:rsid w:val="00A619D4"/>
    <w:rsid w:val="00A632C4"/>
    <w:rsid w:val="00A637A4"/>
    <w:rsid w:val="00A652E8"/>
    <w:rsid w:val="00A66831"/>
    <w:rsid w:val="00A74D23"/>
    <w:rsid w:val="00A80E24"/>
    <w:rsid w:val="00A82E25"/>
    <w:rsid w:val="00A85699"/>
    <w:rsid w:val="00A86ABD"/>
    <w:rsid w:val="00A92EA6"/>
    <w:rsid w:val="00AA2F1F"/>
    <w:rsid w:val="00AA7438"/>
    <w:rsid w:val="00AA7478"/>
    <w:rsid w:val="00AB4D9B"/>
    <w:rsid w:val="00AB6CEA"/>
    <w:rsid w:val="00AC21ED"/>
    <w:rsid w:val="00AC2653"/>
    <w:rsid w:val="00AC2926"/>
    <w:rsid w:val="00AD071E"/>
    <w:rsid w:val="00AD3CE8"/>
    <w:rsid w:val="00AD54F3"/>
    <w:rsid w:val="00AD578E"/>
    <w:rsid w:val="00AD7048"/>
    <w:rsid w:val="00AD76E7"/>
    <w:rsid w:val="00AF1405"/>
    <w:rsid w:val="00AF1E24"/>
    <w:rsid w:val="00AF487D"/>
    <w:rsid w:val="00B0378E"/>
    <w:rsid w:val="00B046C8"/>
    <w:rsid w:val="00B06ABD"/>
    <w:rsid w:val="00B07069"/>
    <w:rsid w:val="00B10BEB"/>
    <w:rsid w:val="00B1151D"/>
    <w:rsid w:val="00B137A9"/>
    <w:rsid w:val="00B14B01"/>
    <w:rsid w:val="00B14D92"/>
    <w:rsid w:val="00B2149F"/>
    <w:rsid w:val="00B21ACD"/>
    <w:rsid w:val="00B247C9"/>
    <w:rsid w:val="00B24C82"/>
    <w:rsid w:val="00B24FE7"/>
    <w:rsid w:val="00B253AC"/>
    <w:rsid w:val="00B31D5D"/>
    <w:rsid w:val="00B31FB3"/>
    <w:rsid w:val="00B349DD"/>
    <w:rsid w:val="00B3785D"/>
    <w:rsid w:val="00B418DE"/>
    <w:rsid w:val="00B41B30"/>
    <w:rsid w:val="00B42311"/>
    <w:rsid w:val="00B449EA"/>
    <w:rsid w:val="00B44C1D"/>
    <w:rsid w:val="00B45F07"/>
    <w:rsid w:val="00B51F67"/>
    <w:rsid w:val="00B52A8E"/>
    <w:rsid w:val="00B53181"/>
    <w:rsid w:val="00B53C4F"/>
    <w:rsid w:val="00B574D1"/>
    <w:rsid w:val="00B605C5"/>
    <w:rsid w:val="00B61E0A"/>
    <w:rsid w:val="00B67306"/>
    <w:rsid w:val="00B712CA"/>
    <w:rsid w:val="00B722F5"/>
    <w:rsid w:val="00B72828"/>
    <w:rsid w:val="00B74542"/>
    <w:rsid w:val="00B75AA2"/>
    <w:rsid w:val="00B767C6"/>
    <w:rsid w:val="00B77A93"/>
    <w:rsid w:val="00B77EC2"/>
    <w:rsid w:val="00B856F9"/>
    <w:rsid w:val="00B87275"/>
    <w:rsid w:val="00B924A3"/>
    <w:rsid w:val="00B945A7"/>
    <w:rsid w:val="00B95437"/>
    <w:rsid w:val="00BA4BBF"/>
    <w:rsid w:val="00BA4C4A"/>
    <w:rsid w:val="00BA7324"/>
    <w:rsid w:val="00BB212A"/>
    <w:rsid w:val="00BB2FF8"/>
    <w:rsid w:val="00BB4108"/>
    <w:rsid w:val="00BB5158"/>
    <w:rsid w:val="00BB6D8D"/>
    <w:rsid w:val="00BC341B"/>
    <w:rsid w:val="00BD4953"/>
    <w:rsid w:val="00BE16D7"/>
    <w:rsid w:val="00BE5676"/>
    <w:rsid w:val="00BE5F17"/>
    <w:rsid w:val="00BE78EB"/>
    <w:rsid w:val="00BF1599"/>
    <w:rsid w:val="00BF3D37"/>
    <w:rsid w:val="00BF54E5"/>
    <w:rsid w:val="00BF5B14"/>
    <w:rsid w:val="00C006B7"/>
    <w:rsid w:val="00C040F9"/>
    <w:rsid w:val="00C048B0"/>
    <w:rsid w:val="00C076D1"/>
    <w:rsid w:val="00C123F3"/>
    <w:rsid w:val="00C12FDE"/>
    <w:rsid w:val="00C17D81"/>
    <w:rsid w:val="00C20FB2"/>
    <w:rsid w:val="00C219F8"/>
    <w:rsid w:val="00C22ED5"/>
    <w:rsid w:val="00C23C12"/>
    <w:rsid w:val="00C413DE"/>
    <w:rsid w:val="00C415D4"/>
    <w:rsid w:val="00C4327A"/>
    <w:rsid w:val="00C445CE"/>
    <w:rsid w:val="00C45D6F"/>
    <w:rsid w:val="00C51447"/>
    <w:rsid w:val="00C61545"/>
    <w:rsid w:val="00C6251D"/>
    <w:rsid w:val="00C647DD"/>
    <w:rsid w:val="00C64F10"/>
    <w:rsid w:val="00C746C4"/>
    <w:rsid w:val="00C7487E"/>
    <w:rsid w:val="00C80DC3"/>
    <w:rsid w:val="00C8268B"/>
    <w:rsid w:val="00C91796"/>
    <w:rsid w:val="00C921AC"/>
    <w:rsid w:val="00C92A6F"/>
    <w:rsid w:val="00C94A63"/>
    <w:rsid w:val="00C979D8"/>
    <w:rsid w:val="00C97C67"/>
    <w:rsid w:val="00CA6AD1"/>
    <w:rsid w:val="00CB2B20"/>
    <w:rsid w:val="00CB4101"/>
    <w:rsid w:val="00CB525B"/>
    <w:rsid w:val="00CB6A4E"/>
    <w:rsid w:val="00CC07FE"/>
    <w:rsid w:val="00CC5915"/>
    <w:rsid w:val="00CD09D2"/>
    <w:rsid w:val="00CD2751"/>
    <w:rsid w:val="00CD45DF"/>
    <w:rsid w:val="00CD4757"/>
    <w:rsid w:val="00CD4898"/>
    <w:rsid w:val="00CE026E"/>
    <w:rsid w:val="00CE034A"/>
    <w:rsid w:val="00CE2315"/>
    <w:rsid w:val="00CE3B73"/>
    <w:rsid w:val="00CE4306"/>
    <w:rsid w:val="00CF44BD"/>
    <w:rsid w:val="00CF523B"/>
    <w:rsid w:val="00CF5EC6"/>
    <w:rsid w:val="00CF645C"/>
    <w:rsid w:val="00D001D8"/>
    <w:rsid w:val="00D00CD5"/>
    <w:rsid w:val="00D03A3F"/>
    <w:rsid w:val="00D102A0"/>
    <w:rsid w:val="00D107EA"/>
    <w:rsid w:val="00D108CF"/>
    <w:rsid w:val="00D13D9C"/>
    <w:rsid w:val="00D154E9"/>
    <w:rsid w:val="00D15C79"/>
    <w:rsid w:val="00D201E1"/>
    <w:rsid w:val="00D203AB"/>
    <w:rsid w:val="00D20725"/>
    <w:rsid w:val="00D226BF"/>
    <w:rsid w:val="00D233D2"/>
    <w:rsid w:val="00D23FAA"/>
    <w:rsid w:val="00D31EFD"/>
    <w:rsid w:val="00D330D9"/>
    <w:rsid w:val="00D35203"/>
    <w:rsid w:val="00D361B8"/>
    <w:rsid w:val="00D361D6"/>
    <w:rsid w:val="00D37049"/>
    <w:rsid w:val="00D37CF8"/>
    <w:rsid w:val="00D4530F"/>
    <w:rsid w:val="00D4595B"/>
    <w:rsid w:val="00D4646D"/>
    <w:rsid w:val="00D5179E"/>
    <w:rsid w:val="00D52A5A"/>
    <w:rsid w:val="00D55CE5"/>
    <w:rsid w:val="00D6055D"/>
    <w:rsid w:val="00D60731"/>
    <w:rsid w:val="00D60949"/>
    <w:rsid w:val="00D6372F"/>
    <w:rsid w:val="00D70FE4"/>
    <w:rsid w:val="00D74D02"/>
    <w:rsid w:val="00D76395"/>
    <w:rsid w:val="00D80D6A"/>
    <w:rsid w:val="00D86727"/>
    <w:rsid w:val="00D945AF"/>
    <w:rsid w:val="00D94DDB"/>
    <w:rsid w:val="00D95F44"/>
    <w:rsid w:val="00D96431"/>
    <w:rsid w:val="00DA299B"/>
    <w:rsid w:val="00DA36AB"/>
    <w:rsid w:val="00DA53D1"/>
    <w:rsid w:val="00DA5AC0"/>
    <w:rsid w:val="00DB020F"/>
    <w:rsid w:val="00DB331A"/>
    <w:rsid w:val="00DB5292"/>
    <w:rsid w:val="00DD0821"/>
    <w:rsid w:val="00DD17BB"/>
    <w:rsid w:val="00DD4574"/>
    <w:rsid w:val="00DE089C"/>
    <w:rsid w:val="00DE0C53"/>
    <w:rsid w:val="00DE0FF3"/>
    <w:rsid w:val="00DE486E"/>
    <w:rsid w:val="00DF08D9"/>
    <w:rsid w:val="00DF73D7"/>
    <w:rsid w:val="00E103D3"/>
    <w:rsid w:val="00E108F8"/>
    <w:rsid w:val="00E10943"/>
    <w:rsid w:val="00E14731"/>
    <w:rsid w:val="00E17AE1"/>
    <w:rsid w:val="00E220E7"/>
    <w:rsid w:val="00E23DCB"/>
    <w:rsid w:val="00E242AE"/>
    <w:rsid w:val="00E30B29"/>
    <w:rsid w:val="00E31949"/>
    <w:rsid w:val="00E33165"/>
    <w:rsid w:val="00E3330C"/>
    <w:rsid w:val="00E343F6"/>
    <w:rsid w:val="00E3644E"/>
    <w:rsid w:val="00E36CDC"/>
    <w:rsid w:val="00E379C3"/>
    <w:rsid w:val="00E476EA"/>
    <w:rsid w:val="00E514AD"/>
    <w:rsid w:val="00E51C0B"/>
    <w:rsid w:val="00E6073D"/>
    <w:rsid w:val="00E61D5C"/>
    <w:rsid w:val="00E62D84"/>
    <w:rsid w:val="00E71DC8"/>
    <w:rsid w:val="00E72337"/>
    <w:rsid w:val="00E72AA4"/>
    <w:rsid w:val="00E76EE3"/>
    <w:rsid w:val="00E77EA1"/>
    <w:rsid w:val="00E82E03"/>
    <w:rsid w:val="00E82ECB"/>
    <w:rsid w:val="00E84C69"/>
    <w:rsid w:val="00E85A50"/>
    <w:rsid w:val="00E86C78"/>
    <w:rsid w:val="00E9368E"/>
    <w:rsid w:val="00EA0024"/>
    <w:rsid w:val="00EA02CF"/>
    <w:rsid w:val="00EA3DCA"/>
    <w:rsid w:val="00EA4A46"/>
    <w:rsid w:val="00EA67A8"/>
    <w:rsid w:val="00EB06EE"/>
    <w:rsid w:val="00EB2742"/>
    <w:rsid w:val="00EB2F54"/>
    <w:rsid w:val="00EB3737"/>
    <w:rsid w:val="00EB519B"/>
    <w:rsid w:val="00EB747D"/>
    <w:rsid w:val="00EC0934"/>
    <w:rsid w:val="00EC15AE"/>
    <w:rsid w:val="00EC3E21"/>
    <w:rsid w:val="00EC4D4C"/>
    <w:rsid w:val="00ED0E55"/>
    <w:rsid w:val="00ED1802"/>
    <w:rsid w:val="00ED6A68"/>
    <w:rsid w:val="00ED74D2"/>
    <w:rsid w:val="00EE178E"/>
    <w:rsid w:val="00EE798D"/>
    <w:rsid w:val="00EF1771"/>
    <w:rsid w:val="00EF3377"/>
    <w:rsid w:val="00EF64EC"/>
    <w:rsid w:val="00F004D4"/>
    <w:rsid w:val="00F01C3A"/>
    <w:rsid w:val="00F021BC"/>
    <w:rsid w:val="00F06299"/>
    <w:rsid w:val="00F0721C"/>
    <w:rsid w:val="00F12330"/>
    <w:rsid w:val="00F1474E"/>
    <w:rsid w:val="00F15960"/>
    <w:rsid w:val="00F17EC2"/>
    <w:rsid w:val="00F20891"/>
    <w:rsid w:val="00F22F3E"/>
    <w:rsid w:val="00F27172"/>
    <w:rsid w:val="00F27C75"/>
    <w:rsid w:val="00F312CA"/>
    <w:rsid w:val="00F452AA"/>
    <w:rsid w:val="00F5033B"/>
    <w:rsid w:val="00F50912"/>
    <w:rsid w:val="00F5293F"/>
    <w:rsid w:val="00F56FDD"/>
    <w:rsid w:val="00F646D3"/>
    <w:rsid w:val="00F738E0"/>
    <w:rsid w:val="00F74B0B"/>
    <w:rsid w:val="00F8028B"/>
    <w:rsid w:val="00F80A1E"/>
    <w:rsid w:val="00F8336F"/>
    <w:rsid w:val="00F83D59"/>
    <w:rsid w:val="00F858A0"/>
    <w:rsid w:val="00F85EC4"/>
    <w:rsid w:val="00F93E27"/>
    <w:rsid w:val="00F9419E"/>
    <w:rsid w:val="00F9529F"/>
    <w:rsid w:val="00F9536C"/>
    <w:rsid w:val="00F96EBD"/>
    <w:rsid w:val="00F96F9E"/>
    <w:rsid w:val="00F97A3E"/>
    <w:rsid w:val="00FA29D0"/>
    <w:rsid w:val="00FA4C61"/>
    <w:rsid w:val="00FA6AB1"/>
    <w:rsid w:val="00FB014D"/>
    <w:rsid w:val="00FB0193"/>
    <w:rsid w:val="00FB6086"/>
    <w:rsid w:val="00FC0991"/>
    <w:rsid w:val="00FC4EC0"/>
    <w:rsid w:val="00FD05BE"/>
    <w:rsid w:val="00FE2209"/>
    <w:rsid w:val="00FE3E0F"/>
    <w:rsid w:val="00FE5973"/>
    <w:rsid w:val="00FE5ACA"/>
    <w:rsid w:val="00FE72FC"/>
    <w:rsid w:val="00FF0388"/>
    <w:rsid w:val="00FF30BD"/>
    <w:rsid w:val="00FF3AE9"/>
    <w:rsid w:val="00FF4973"/>
    <w:rsid w:val="00FF4F31"/>
    <w:rsid w:val="00FF7C67"/>
    <w:rsid w:val="2BB9C0F5"/>
    <w:rsid w:val="3C764783"/>
    <w:rsid w:val="3FF20F9D"/>
    <w:rsid w:val="3FF7FA10"/>
    <w:rsid w:val="4FAF825B"/>
    <w:rsid w:val="5DF7FF6F"/>
    <w:rsid w:val="5F9FD43A"/>
    <w:rsid w:val="5FFB81F2"/>
    <w:rsid w:val="65EB1F6D"/>
    <w:rsid w:val="6B7D21F1"/>
    <w:rsid w:val="6F17F60E"/>
    <w:rsid w:val="6F7F31CC"/>
    <w:rsid w:val="6FB2D1EA"/>
    <w:rsid w:val="6FCF3235"/>
    <w:rsid w:val="6FE673C4"/>
    <w:rsid w:val="6FF7FBF3"/>
    <w:rsid w:val="7CBB6534"/>
    <w:rsid w:val="7FEF9065"/>
    <w:rsid w:val="95FF5FF8"/>
    <w:rsid w:val="9FB350FF"/>
    <w:rsid w:val="BB5FCAED"/>
    <w:rsid w:val="BBA75D9B"/>
    <w:rsid w:val="BDFED2B6"/>
    <w:rsid w:val="BFE685D2"/>
    <w:rsid w:val="BFFE05FF"/>
    <w:rsid w:val="DAEB2472"/>
    <w:rsid w:val="DB8F79E8"/>
    <w:rsid w:val="DEE628A6"/>
    <w:rsid w:val="E9FFAB98"/>
    <w:rsid w:val="EFDE3F51"/>
    <w:rsid w:val="F6FD6CEB"/>
    <w:rsid w:val="F7DCD762"/>
    <w:rsid w:val="F7EF98AE"/>
    <w:rsid w:val="FBAFF751"/>
    <w:rsid w:val="FEBFA1CE"/>
    <w:rsid w:val="FF5E71AB"/>
    <w:rsid w:val="FFB6CEC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1"/>
    <w:basedOn w:val="1"/>
    <w:next w:val="1"/>
    <w:qFormat/>
    <w:uiPriority w:val="0"/>
    <w:pPr>
      <w:keepNext/>
      <w:outlineLvl w:val="0"/>
    </w:pPr>
    <w:rPr>
      <w:sz w:val="24"/>
    </w:rPr>
  </w:style>
  <w:style w:type="paragraph" w:styleId="3">
    <w:name w:val="heading 2"/>
    <w:basedOn w:val="1"/>
    <w:next w:val="1"/>
    <w:qFormat/>
    <w:uiPriority w:val="0"/>
    <w:pPr>
      <w:keepNext/>
      <w:jc w:val="center"/>
      <w:outlineLvl w:val="1"/>
    </w:pPr>
    <w:rPr>
      <w:b/>
      <w:sz w:val="24"/>
    </w:rPr>
  </w:style>
  <w:style w:type="paragraph" w:styleId="4">
    <w:name w:val="heading 3"/>
    <w:basedOn w:val="1"/>
    <w:next w:val="1"/>
    <w:qFormat/>
    <w:uiPriority w:val="0"/>
    <w:pPr>
      <w:keepNext/>
      <w:jc w:val="both"/>
      <w:outlineLvl w:val="2"/>
    </w:pPr>
    <w:rPr>
      <w:b/>
      <w:sz w:val="28"/>
    </w:rPr>
  </w:style>
  <w:style w:type="paragraph" w:styleId="5">
    <w:name w:val="heading 4"/>
    <w:basedOn w:val="1"/>
    <w:next w:val="1"/>
    <w:qFormat/>
    <w:uiPriority w:val="0"/>
    <w:pPr>
      <w:keepNext/>
      <w:jc w:val="center"/>
      <w:outlineLvl w:val="3"/>
    </w:pPr>
    <w:rPr>
      <w:b/>
      <w:sz w:val="24"/>
      <w:u w:val="single"/>
    </w:rPr>
  </w:style>
  <w:style w:type="paragraph" w:styleId="6">
    <w:name w:val="heading 5"/>
    <w:basedOn w:val="1"/>
    <w:next w:val="1"/>
    <w:qFormat/>
    <w:uiPriority w:val="0"/>
    <w:pPr>
      <w:keepNext/>
      <w:jc w:val="both"/>
      <w:outlineLvl w:val="4"/>
    </w:pPr>
    <w:rPr>
      <w:sz w:val="24"/>
    </w:rPr>
  </w:style>
  <w:style w:type="paragraph" w:styleId="7">
    <w:name w:val="heading 6"/>
    <w:basedOn w:val="1"/>
    <w:next w:val="1"/>
    <w:qFormat/>
    <w:uiPriority w:val="0"/>
    <w:pPr>
      <w:keepNext/>
      <w:jc w:val="both"/>
      <w:outlineLvl w:val="5"/>
    </w:pPr>
    <w:rPr>
      <w:b/>
      <w:sz w:val="24"/>
    </w:rPr>
  </w:style>
  <w:style w:type="paragraph" w:styleId="8">
    <w:name w:val="heading 7"/>
    <w:basedOn w:val="1"/>
    <w:next w:val="1"/>
    <w:qFormat/>
    <w:uiPriority w:val="0"/>
    <w:pPr>
      <w:keepNext/>
      <w:outlineLvl w:val="6"/>
    </w:pPr>
    <w:rPr>
      <w:b/>
      <w:sz w:val="24"/>
    </w:rPr>
  </w:style>
  <w:style w:type="paragraph" w:styleId="9">
    <w:name w:val="heading 8"/>
    <w:basedOn w:val="1"/>
    <w:next w:val="1"/>
    <w:qFormat/>
    <w:uiPriority w:val="0"/>
    <w:pPr>
      <w:keepNext/>
      <w:outlineLvl w:val="7"/>
    </w:pPr>
    <w:rPr>
      <w:b/>
      <w:sz w:val="22"/>
    </w:rPr>
  </w:style>
  <w:style w:type="paragraph" w:styleId="10">
    <w:name w:val="heading 9"/>
    <w:basedOn w:val="1"/>
    <w:next w:val="1"/>
    <w:qFormat/>
    <w:uiPriority w:val="0"/>
    <w:pPr>
      <w:keepNext/>
      <w:jc w:val="center"/>
      <w:outlineLvl w:val="8"/>
    </w:pPr>
    <w:rPr>
      <w:b/>
      <w:bCs/>
      <w:sz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2"/>
    <w:qFormat/>
    <w:uiPriority w:val="0"/>
    <w:rPr>
      <w:sz w:val="18"/>
      <w:szCs w:val="18"/>
    </w:rPr>
  </w:style>
  <w:style w:type="paragraph" w:styleId="14">
    <w:name w:val="Body Text"/>
    <w:basedOn w:val="1"/>
    <w:qFormat/>
    <w:uiPriority w:val="0"/>
    <w:pPr>
      <w:jc w:val="both"/>
    </w:pPr>
    <w:rPr>
      <w:sz w:val="22"/>
    </w:rPr>
  </w:style>
  <w:style w:type="paragraph" w:styleId="15">
    <w:name w:val="Body Text 2"/>
    <w:basedOn w:val="1"/>
    <w:qFormat/>
    <w:uiPriority w:val="0"/>
    <w:rPr>
      <w:sz w:val="22"/>
    </w:rPr>
  </w:style>
  <w:style w:type="character" w:styleId="16">
    <w:name w:val="annotation reference"/>
    <w:unhideWhenUsed/>
    <w:qFormat/>
    <w:uiPriority w:val="99"/>
    <w:rPr>
      <w:sz w:val="18"/>
      <w:szCs w:val="18"/>
    </w:rPr>
  </w:style>
  <w:style w:type="paragraph" w:styleId="17">
    <w:name w:val="annotation text"/>
    <w:basedOn w:val="1"/>
    <w:link w:val="30"/>
    <w:unhideWhenUsed/>
    <w:qFormat/>
    <w:uiPriority w:val="99"/>
    <w:rPr>
      <w:rFonts w:ascii="Cambria" w:hAnsi="Cambria" w:eastAsia="MS Mincho"/>
      <w:sz w:val="24"/>
      <w:szCs w:val="24"/>
    </w:rPr>
  </w:style>
  <w:style w:type="paragraph" w:styleId="18">
    <w:name w:val="annotation subject"/>
    <w:basedOn w:val="17"/>
    <w:next w:val="17"/>
    <w:link w:val="31"/>
    <w:unhideWhenUsed/>
    <w:qFormat/>
    <w:uiPriority w:val="99"/>
    <w:rPr>
      <w:b/>
      <w:bCs/>
      <w:sz w:val="20"/>
      <w:szCs w:val="20"/>
    </w:rPr>
  </w:style>
  <w:style w:type="paragraph" w:styleId="19">
    <w:name w:val="Document Map"/>
    <w:basedOn w:val="1"/>
    <w:link w:val="28"/>
    <w:qFormat/>
    <w:uiPriority w:val="0"/>
    <w:rPr>
      <w:sz w:val="24"/>
      <w:szCs w:val="24"/>
    </w:rPr>
  </w:style>
  <w:style w:type="character" w:styleId="20">
    <w:name w:val="FollowedHyperlink"/>
    <w:qFormat/>
    <w:uiPriority w:val="0"/>
    <w:rPr>
      <w:color w:val="954F72"/>
      <w:u w:val="single"/>
    </w:rPr>
  </w:style>
  <w:style w:type="paragraph" w:styleId="21">
    <w:name w:val="footer"/>
    <w:basedOn w:val="1"/>
    <w:qFormat/>
    <w:uiPriority w:val="0"/>
    <w:pPr>
      <w:tabs>
        <w:tab w:val="center" w:pos="4320"/>
        <w:tab w:val="right" w:pos="8640"/>
      </w:tabs>
    </w:pPr>
  </w:style>
  <w:style w:type="paragraph" w:styleId="22">
    <w:name w:val="header"/>
    <w:basedOn w:val="1"/>
    <w:qFormat/>
    <w:uiPriority w:val="0"/>
    <w:pPr>
      <w:tabs>
        <w:tab w:val="center" w:pos="4153"/>
        <w:tab w:val="right" w:pos="8306"/>
      </w:tabs>
      <w:snapToGrid w:val="0"/>
    </w:pPr>
    <w:rPr>
      <w:sz w:val="18"/>
      <w:szCs w:val="18"/>
    </w:rPr>
  </w:style>
  <w:style w:type="character" w:styleId="23">
    <w:name w:val="Hyperlink"/>
    <w:qFormat/>
    <w:uiPriority w:val="0"/>
    <w:rPr>
      <w:color w:val="0000FF"/>
      <w:u w:val="single"/>
    </w:rPr>
  </w:style>
  <w:style w:type="paragraph" w:styleId="24">
    <w:name w:val="Normal (Web)"/>
    <w:basedOn w:val="1"/>
    <w:unhideWhenUsed/>
    <w:qFormat/>
    <w:uiPriority w:val="99"/>
    <w:pPr>
      <w:spacing w:before="100" w:beforeAutospacing="1" w:after="100" w:afterAutospacing="1"/>
    </w:pPr>
    <w:rPr>
      <w:sz w:val="24"/>
      <w:szCs w:val="24"/>
    </w:rPr>
  </w:style>
  <w:style w:type="character" w:styleId="25">
    <w:name w:val="page number"/>
    <w:basedOn w:val="11"/>
    <w:qFormat/>
    <w:uiPriority w:val="0"/>
  </w:style>
  <w:style w:type="character" w:styleId="26">
    <w:name w:val="Strong"/>
    <w:qFormat/>
    <w:uiPriority w:val="22"/>
    <w:rPr>
      <w:b/>
      <w:bCs/>
    </w:rPr>
  </w:style>
  <w:style w:type="table" w:styleId="27">
    <w:name w:val="Table Grid"/>
    <w:basedOn w:val="12"/>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
    <w:name w:val="Document Map Char"/>
    <w:link w:val="19"/>
    <w:qFormat/>
    <w:uiPriority w:val="0"/>
    <w:rPr>
      <w:sz w:val="24"/>
      <w:szCs w:val="24"/>
    </w:rPr>
  </w:style>
  <w:style w:type="paragraph" w:customStyle="1" w:styleId="29">
    <w:name w:val="NumberedList"/>
    <w:basedOn w:val="1"/>
    <w:qFormat/>
    <w:uiPriority w:val="0"/>
    <w:pPr>
      <w:numPr>
        <w:ilvl w:val="0"/>
        <w:numId w:val="1"/>
      </w:numPr>
      <w:spacing w:before="120"/>
      <w:ind w:left="1600"/>
    </w:pPr>
    <w:rPr>
      <w:sz w:val="24"/>
      <w:szCs w:val="24"/>
      <w:lang w:val="en-IN" w:eastAsia="en-IN"/>
    </w:rPr>
  </w:style>
  <w:style w:type="character" w:customStyle="1" w:styleId="30">
    <w:name w:val="Comment Text Char"/>
    <w:link w:val="17"/>
    <w:qFormat/>
    <w:uiPriority w:val="99"/>
    <w:rPr>
      <w:rFonts w:ascii="Cambria" w:hAnsi="Cambria" w:eastAsia="MS Mincho"/>
      <w:sz w:val="24"/>
      <w:szCs w:val="24"/>
    </w:rPr>
  </w:style>
  <w:style w:type="character" w:customStyle="1" w:styleId="31">
    <w:name w:val="Comment Subject Char"/>
    <w:link w:val="18"/>
    <w:qFormat/>
    <w:uiPriority w:val="99"/>
    <w:rPr>
      <w:rFonts w:ascii="Cambria" w:hAnsi="Cambria" w:eastAsia="MS Mincho"/>
      <w:b/>
      <w:bCs/>
      <w:sz w:val="24"/>
      <w:szCs w:val="24"/>
    </w:rPr>
  </w:style>
  <w:style w:type="character" w:customStyle="1" w:styleId="32">
    <w:name w:val="Balloon Text Char"/>
    <w:link w:val="13"/>
    <w:qFormat/>
    <w:uiPriority w:val="0"/>
    <w:rPr>
      <w:sz w:val="18"/>
      <w:szCs w:val="18"/>
    </w:rPr>
  </w:style>
  <w:style w:type="character" w:customStyle="1" w:styleId="33">
    <w:name w:val="Unresolved Mention1"/>
    <w:qFormat/>
    <w:uiPriority w:val="47"/>
    <w:rPr>
      <w:color w:val="605E5C"/>
      <w:shd w:val="clear" w:color="auto" w:fill="E1DFDD"/>
    </w:rPr>
  </w:style>
  <w:style w:type="paragraph" w:customStyle="1" w:styleId="34">
    <w:name w:val="Revision1"/>
    <w:hidden/>
    <w:qFormat/>
    <w:uiPriority w:val="71"/>
    <w:rPr>
      <w:rFonts w:ascii="Times New Roman" w:hAnsi="Times New Roman" w:eastAsia="Times New Roman" w:cs="Times New Roman"/>
      <w:lang w:val="en-US" w:eastAsia="en-US" w:bidi="ar-SA"/>
    </w:rPr>
  </w:style>
  <w:style w:type="paragraph" w:customStyle="1" w:styleId="35">
    <w:name w:val="Revision2"/>
    <w:hidden/>
    <w:semiHidden/>
    <w:qFormat/>
    <w:uiPriority w:val="99"/>
    <w:rPr>
      <w:rFonts w:ascii="Times New Roman" w:hAnsi="Times New Roman" w:eastAsia="Times New Roman" w:cs="Times New Roman"/>
      <w:lang w:val="en-US" w:eastAsia="en-US" w:bidi="ar-SA"/>
    </w:rPr>
  </w:style>
  <w:style w:type="paragraph" w:customStyle="1" w:styleId="36">
    <w:name w:val="Revision3"/>
    <w:hidden/>
    <w:unhideWhenUsed/>
    <w:qFormat/>
    <w:uiPriority w:val="99"/>
    <w:rPr>
      <w:rFonts w:ascii="Times New Roman" w:hAnsi="Times New Roman" w:eastAsia="Times New Roman" w:cs="Times New Roman"/>
      <w:lang w:val="en-US" w:eastAsia="en-US" w:bidi="ar-SA"/>
    </w:rPr>
  </w:style>
  <w:style w:type="paragraph" w:customStyle="1" w:styleId="37">
    <w:name w:val="Revision4"/>
    <w:hidden/>
    <w:unhideWhenUsed/>
    <w:qFormat/>
    <w:uiPriority w:val="99"/>
    <w:rPr>
      <w:rFonts w:ascii="Times New Roman" w:hAnsi="Times New Roman" w:eastAsia="Times New Roman" w:cs="Times New Roman"/>
      <w:lang w:val="en-US" w:eastAsia="en-US" w:bidi="ar-SA"/>
    </w:rPr>
  </w:style>
  <w:style w:type="paragraph" w:customStyle="1" w:styleId="38">
    <w:name w:val="Revision5"/>
    <w:hidden/>
    <w:unhideWhenUsed/>
    <w:qFormat/>
    <w:uiPriority w:val="99"/>
    <w:rPr>
      <w:rFonts w:ascii="Times New Roman" w:hAnsi="Times New Roman" w:eastAsia="Times New Roman" w:cs="Times New Roman"/>
      <w:lang w:val="en-US" w:eastAsia="en-US" w:bidi="ar-SA"/>
    </w:rPr>
  </w:style>
  <w:style w:type="paragraph" w:customStyle="1" w:styleId="39">
    <w:name w:val="Revision"/>
    <w:hidden/>
    <w:unhideWhenUsed/>
    <w:qFormat/>
    <w:uiPriority w:val="99"/>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School of Business</Company>
  <Pages>6</Pages>
  <Words>2727</Words>
  <Characters>15549</Characters>
  <Lines>129</Lines>
  <Paragraphs>36</Paragraphs>
  <TotalTime>46</TotalTime>
  <ScaleCrop>false</ScaleCrop>
  <LinksUpToDate>false</LinksUpToDate>
  <CharactersWithSpaces>18240</CharactersWithSpaces>
  <Application>WPS Office_5.6.0.8082_F1E327BC-269C-435d-A152-05C5408002CA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2023-01-12T03:23:00Z</dcterms:created>
  <dc:creator>kjohnstone</dc:creator>
  <cp:lastModifiedBy>KarlaZehms</cp:lastModifiedBy>
  <cp:lastPrinted>2017-11-03T00:00:00Z</cp:lastPrinted>
  <dcterms:modified xsi:type="dcterms:W3CDTF">2024-01-30T22:04:06Z</dcterms:modified>
  <dc:title>AIS 630</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y fmtid="{D5CDD505-2E9C-101B-9397-08002B2CF9AE}" pid="3" name="GrammarlyDocumentId">
    <vt:lpwstr>53d8e21239131995413ad192dce12b63a91c4afc1cd2faee83d095e7e571089d</vt:lpwstr>
  </property>
</Properties>
</file>